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C728D" w:rsidP="004A6D2F">
            <w:pPr>
              <w:rPr>
                <w:rStyle w:val="Firstpagetablebold"/>
              </w:rPr>
            </w:pPr>
            <w:r>
              <w:rPr>
                <w:rStyle w:val="Firstpagetablebold"/>
              </w:rPr>
              <w:t>Audit and Governance</w:t>
            </w:r>
            <w:r w:rsidR="00821AAF">
              <w:rPr>
                <w:rStyle w:val="Firstpagetablebold"/>
              </w:rPr>
              <w:t xml:space="preserv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C728D" w:rsidP="003C728D">
            <w:pPr>
              <w:rPr>
                <w:b/>
              </w:rPr>
            </w:pPr>
            <w:r>
              <w:rPr>
                <w:rStyle w:val="Firstpagetablebold"/>
              </w:rPr>
              <w:t>11 April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C728D"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C728D" w:rsidP="004A6D2F">
            <w:pPr>
              <w:rPr>
                <w:rStyle w:val="Firstpagetablebold"/>
              </w:rPr>
            </w:pPr>
            <w:r>
              <w:rPr>
                <w:rStyle w:val="Firstpagetablebold"/>
              </w:rPr>
              <w:t>Empty Property Report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C728D" w:rsidP="00821AAF">
            <w:r>
              <w:t>To provide an update on empty properties, the Council Tax Premium, and how empty properties are being brought back in to use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3C728D"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3C728D">
            <w:r w:rsidRPr="001356F1">
              <w:t xml:space="preserve">Councillor </w:t>
            </w:r>
            <w:r w:rsidR="003C728D">
              <w:t>Mike Rowley</w:t>
            </w:r>
            <w:r w:rsidRPr="001356F1">
              <w:t xml:space="preserve">, </w:t>
            </w:r>
            <w:r w:rsidR="003C728D">
              <w:t>Cabinet Member for 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C728D"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C728D" w:rsidP="005F7F7E">
            <w:r>
              <w:t>Council Strategy 2020-24</w:t>
            </w:r>
          </w:p>
        </w:tc>
      </w:tr>
      <w:tr w:rsidR="005F7F7E" w:rsidRPr="00975B07" w:rsidTr="003C728D">
        <w:trPr>
          <w:trHeight w:val="413"/>
        </w:trPr>
        <w:tc>
          <w:tcPr>
            <w:tcW w:w="8845" w:type="dxa"/>
            <w:gridSpan w:val="3"/>
            <w:tcBorders>
              <w:bottom w:val="single" w:sz="8" w:space="0" w:color="000000"/>
            </w:tcBorders>
          </w:tcPr>
          <w:p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rsidTr="003C728D">
        <w:trPr>
          <w:trHeight w:val="283"/>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30208D" w:rsidRPr="003C728D" w:rsidRDefault="003C728D" w:rsidP="002069B3">
            <w:r>
              <w:rPr>
                <w:rStyle w:val="Firstpagetablebold"/>
              </w:rPr>
              <w:t xml:space="preserve">Note </w:t>
            </w:r>
            <w:r>
              <w:rPr>
                <w:rStyle w:val="Firstpagetablebold"/>
                <w:b w:val="0"/>
              </w:rPr>
              <w:t>the content of this report.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C728D" w:rsidP="004A6D2F">
            <w:r w:rsidRPr="002D4744">
              <w:rPr>
                <w:rFonts w:cs="Arial"/>
                <w:color w:val="auto"/>
                <w:lang w:eastAsia="en-US"/>
              </w:rPr>
              <w:t xml:space="preserve">Council Tax Exemption Classes, numbers and value of </w:t>
            </w:r>
            <w:r>
              <w:rPr>
                <w:rFonts w:cs="Arial"/>
                <w:color w:val="auto"/>
                <w:lang w:eastAsia="en-US"/>
              </w:rPr>
              <w:t>r</w:t>
            </w:r>
            <w:r w:rsidRPr="002D4744">
              <w:rPr>
                <w:rFonts w:cs="Arial"/>
                <w:color w:val="auto"/>
                <w:lang w:eastAsia="en-US"/>
              </w:rPr>
              <w:t>elief granted</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C728D" w:rsidP="004A6D2F">
            <w:r w:rsidRPr="002D4744">
              <w:rPr>
                <w:rFonts w:cs="Arial"/>
                <w:color w:val="auto"/>
              </w:rPr>
              <w:t>Flow chart detailing processes used to bring an empty property back into use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C728D" w:rsidP="004A6D2F">
            <w:r w:rsidRPr="005B402E">
              <w:rPr>
                <w:b/>
              </w:rPr>
              <w:t>Exempt</w:t>
            </w:r>
            <w:r>
              <w:t xml:space="preserve"> information on specific empty properties</w:t>
            </w:r>
          </w:p>
        </w:tc>
      </w:tr>
      <w:tr w:rsidR="003C728D" w:rsidRPr="00975B07" w:rsidTr="00A46E98">
        <w:tc>
          <w:tcPr>
            <w:tcW w:w="2438" w:type="dxa"/>
            <w:tcBorders>
              <w:top w:val="nil"/>
              <w:left w:val="single" w:sz="8" w:space="0" w:color="000000"/>
              <w:bottom w:val="single" w:sz="8" w:space="0" w:color="000000"/>
              <w:right w:val="nil"/>
            </w:tcBorders>
            <w:shd w:val="clear" w:color="auto" w:fill="auto"/>
          </w:tcPr>
          <w:p w:rsidR="003C728D" w:rsidRPr="00975B07" w:rsidRDefault="003C728D" w:rsidP="003C728D">
            <w:r w:rsidRPr="00975B07">
              <w:t>Appendix 4</w:t>
            </w:r>
          </w:p>
        </w:tc>
        <w:tc>
          <w:tcPr>
            <w:tcW w:w="6406" w:type="dxa"/>
            <w:tcBorders>
              <w:top w:val="nil"/>
              <w:left w:val="nil"/>
              <w:bottom w:val="single" w:sz="8" w:space="0" w:color="000000"/>
              <w:right w:val="single" w:sz="8" w:space="0" w:color="000000"/>
            </w:tcBorders>
          </w:tcPr>
          <w:p w:rsidR="003C728D" w:rsidRPr="002D4744" w:rsidRDefault="003C728D" w:rsidP="003C728D">
            <w:r w:rsidRPr="002D4744">
              <w:rPr>
                <w:rFonts w:cs="Arial"/>
                <w:bCs/>
                <w:color w:val="auto"/>
                <w:lang w:eastAsia="en-US"/>
              </w:rPr>
              <w:t>Template letter and questionnaire</w:t>
            </w:r>
          </w:p>
        </w:tc>
      </w:tr>
    </w:tbl>
    <w:p w:rsidR="003C728D" w:rsidRDefault="003C728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3C728D" w:rsidRDefault="003C728D" w:rsidP="00DC78B2">
      <w:pPr>
        <w:pStyle w:val="ListParagraph"/>
        <w:numPr>
          <w:ilvl w:val="0"/>
          <w:numId w:val="37"/>
        </w:numPr>
        <w:spacing w:after="0"/>
        <w:jc w:val="both"/>
      </w:pPr>
      <w:r>
        <w:t>The Council collects Council Tax for properties within its administrative area. This report explains the impact of empty properties, the Empty Property Premium and the work that the Council is doing to bring empty properties back into use.</w:t>
      </w:r>
    </w:p>
    <w:p w:rsidR="003C728D" w:rsidRDefault="003C728D" w:rsidP="00DC78B2">
      <w:pPr>
        <w:spacing w:after="0"/>
      </w:pPr>
    </w:p>
    <w:p w:rsidR="00DC78B2" w:rsidRDefault="00DC78B2" w:rsidP="003C728D">
      <w:pPr>
        <w:spacing w:after="0"/>
        <w:ind w:left="360" w:hanging="360"/>
        <w:rPr>
          <w:rFonts w:cs="Arial"/>
          <w:b/>
          <w:color w:val="auto"/>
          <w:lang w:eastAsia="en-US"/>
        </w:rPr>
      </w:pPr>
    </w:p>
    <w:p w:rsidR="00DC78B2" w:rsidRDefault="00DC78B2" w:rsidP="003C728D">
      <w:pPr>
        <w:spacing w:after="0"/>
        <w:ind w:left="360" w:hanging="360"/>
        <w:rPr>
          <w:rFonts w:cs="Arial"/>
          <w:b/>
          <w:color w:val="auto"/>
          <w:lang w:eastAsia="en-US"/>
        </w:rPr>
      </w:pPr>
    </w:p>
    <w:p w:rsidR="003C728D" w:rsidRPr="00E73CBC" w:rsidRDefault="003C728D" w:rsidP="003C728D">
      <w:pPr>
        <w:spacing w:after="0"/>
        <w:ind w:left="360" w:hanging="360"/>
        <w:rPr>
          <w:rFonts w:cs="Arial"/>
          <w:b/>
          <w:color w:val="auto"/>
          <w:lang w:eastAsia="en-US"/>
        </w:rPr>
      </w:pPr>
      <w:r w:rsidRPr="00E73CBC">
        <w:rPr>
          <w:rFonts w:cs="Arial"/>
          <w:b/>
          <w:color w:val="auto"/>
          <w:lang w:eastAsia="en-US"/>
        </w:rPr>
        <w:lastRenderedPageBreak/>
        <w:t>Council Tax</w:t>
      </w:r>
    </w:p>
    <w:p w:rsidR="003C728D" w:rsidRPr="0014302D" w:rsidRDefault="003C728D" w:rsidP="003C728D">
      <w:pPr>
        <w:spacing w:after="0"/>
        <w:ind w:left="720"/>
        <w:rPr>
          <w:rFonts w:cs="Arial"/>
          <w:b/>
          <w:color w:val="auto"/>
          <w:u w:val="single"/>
          <w:lang w:eastAsia="en-US"/>
        </w:rPr>
      </w:pPr>
    </w:p>
    <w:p w:rsidR="003C728D" w:rsidRPr="003C728D" w:rsidRDefault="003C728D" w:rsidP="003C728D">
      <w:pPr>
        <w:pStyle w:val="ListParagraph"/>
        <w:numPr>
          <w:ilvl w:val="0"/>
          <w:numId w:val="37"/>
        </w:numPr>
        <w:spacing w:after="0"/>
        <w:jc w:val="both"/>
        <w:rPr>
          <w:rFonts w:cs="Arial"/>
          <w:color w:val="auto"/>
          <w:lang w:eastAsia="en-US"/>
        </w:rPr>
      </w:pPr>
      <w:r w:rsidRPr="003C728D">
        <w:rPr>
          <w:rFonts w:cs="Arial"/>
          <w:color w:val="auto"/>
          <w:lang w:eastAsia="en-US"/>
        </w:rPr>
        <w:t>The Council’s net annual collectable debit for Council Tax is approx. £98 million per annum, which can fluctuate due to changes in property bands, discounts and exemptions etc.</w:t>
      </w:r>
    </w:p>
    <w:p w:rsidR="003C728D" w:rsidRPr="0014302D" w:rsidRDefault="003C728D" w:rsidP="003C728D">
      <w:pPr>
        <w:spacing w:after="0"/>
        <w:ind w:left="709" w:hanging="283"/>
        <w:rPr>
          <w:rFonts w:cs="Arial"/>
          <w:color w:val="auto"/>
          <w:lang w:eastAsia="en-US"/>
        </w:rPr>
      </w:pPr>
    </w:p>
    <w:p w:rsidR="003C728D" w:rsidRPr="003C728D" w:rsidRDefault="003C728D" w:rsidP="003C728D">
      <w:pPr>
        <w:pStyle w:val="ListParagraph"/>
        <w:numPr>
          <w:ilvl w:val="0"/>
          <w:numId w:val="37"/>
        </w:numPr>
        <w:spacing w:after="0"/>
        <w:jc w:val="both"/>
        <w:rPr>
          <w:rFonts w:cs="Arial"/>
          <w:color w:val="auto"/>
          <w:lang w:eastAsia="en-US"/>
        </w:rPr>
      </w:pPr>
      <w:r w:rsidRPr="003C728D">
        <w:rPr>
          <w:rFonts w:cs="Arial"/>
          <w:color w:val="auto"/>
          <w:lang w:eastAsia="en-US"/>
        </w:rPr>
        <w:t>Within the Council Tax legislation there are also a number of discounts, exemptions, and reduction schemes available for the Council Tax payer to apply for. These are explained in more detail below.</w:t>
      </w:r>
    </w:p>
    <w:p w:rsidR="003C728D" w:rsidRPr="0014302D" w:rsidRDefault="003C728D" w:rsidP="003C728D">
      <w:pPr>
        <w:spacing w:after="0"/>
        <w:ind w:left="720"/>
        <w:rPr>
          <w:rFonts w:cs="Arial"/>
          <w:color w:val="auto"/>
          <w:lang w:eastAsia="en-US"/>
        </w:rPr>
      </w:pPr>
    </w:p>
    <w:p w:rsidR="003C728D" w:rsidRPr="00E73CBC" w:rsidRDefault="003C728D" w:rsidP="003C728D">
      <w:pPr>
        <w:spacing w:after="0"/>
        <w:rPr>
          <w:rFonts w:cs="Arial"/>
          <w:b/>
          <w:color w:val="auto"/>
          <w:lang w:eastAsia="en-US"/>
        </w:rPr>
      </w:pPr>
      <w:r w:rsidRPr="00E73CBC">
        <w:rPr>
          <w:rFonts w:cs="Arial"/>
          <w:b/>
          <w:color w:val="auto"/>
          <w:lang w:eastAsia="en-US"/>
        </w:rPr>
        <w:t>Exempt properties</w:t>
      </w:r>
    </w:p>
    <w:p w:rsidR="003C728D" w:rsidRPr="0014302D" w:rsidRDefault="003C728D" w:rsidP="003C728D">
      <w:pPr>
        <w:spacing w:after="0"/>
        <w:rPr>
          <w:rFonts w:cs="Arial"/>
          <w:b/>
          <w:color w:val="auto"/>
          <w:u w:val="single"/>
          <w:lang w:eastAsia="en-US"/>
        </w:rPr>
      </w:pPr>
    </w:p>
    <w:p w:rsidR="003C728D" w:rsidRDefault="003C728D" w:rsidP="00AE0597">
      <w:pPr>
        <w:numPr>
          <w:ilvl w:val="0"/>
          <w:numId w:val="37"/>
        </w:numPr>
        <w:spacing w:after="0"/>
        <w:ind w:left="426" w:hanging="426"/>
        <w:jc w:val="both"/>
        <w:rPr>
          <w:rFonts w:cs="Arial"/>
          <w:color w:val="auto"/>
          <w:lang w:eastAsia="en-US"/>
        </w:rPr>
      </w:pPr>
      <w:r w:rsidRPr="007C3DD3">
        <w:rPr>
          <w:rFonts w:cs="Arial"/>
          <w:color w:val="auto"/>
          <w:lang w:eastAsia="en-US"/>
        </w:rPr>
        <w:t xml:space="preserve">Council Tax is not payable on exempt dwellings. Exemptions are prescribed by the Secretary of State and would include properties </w:t>
      </w:r>
      <w:r>
        <w:rPr>
          <w:rFonts w:cs="Arial"/>
          <w:color w:val="auto"/>
          <w:lang w:eastAsia="en-US"/>
        </w:rPr>
        <w:t xml:space="preserve">wholly occupied by students, student halls of residence and </w:t>
      </w:r>
      <w:r w:rsidRPr="007C3DD3">
        <w:rPr>
          <w:rFonts w:cs="Arial"/>
          <w:color w:val="auto"/>
          <w:lang w:eastAsia="en-US"/>
        </w:rPr>
        <w:t xml:space="preserve">where the taxpayer is deceased, or is receiving </w:t>
      </w:r>
      <w:r w:rsidRPr="002A46AD">
        <w:rPr>
          <w:rFonts w:cs="Arial"/>
          <w:color w:val="auto"/>
          <w:lang w:eastAsia="en-US"/>
        </w:rPr>
        <w:t xml:space="preserve">care </w:t>
      </w:r>
      <w:r w:rsidRPr="003F31B3">
        <w:rPr>
          <w:rFonts w:cs="Arial"/>
          <w:color w:val="auto"/>
          <w:lang w:eastAsia="en-US"/>
        </w:rPr>
        <w:t>elsewhere.</w:t>
      </w:r>
      <w:r w:rsidRPr="002A46AD">
        <w:rPr>
          <w:rFonts w:cs="Arial"/>
          <w:color w:val="auto"/>
          <w:lang w:eastAsia="en-US"/>
        </w:rPr>
        <w:t xml:space="preserve"> A</w:t>
      </w:r>
      <w:r w:rsidRPr="007C3DD3">
        <w:rPr>
          <w:rFonts w:cs="Arial"/>
          <w:color w:val="auto"/>
          <w:lang w:eastAsia="en-US"/>
        </w:rPr>
        <w:t xml:space="preserve"> more detailed list of all eligible reasons for </w:t>
      </w:r>
      <w:r>
        <w:rPr>
          <w:rFonts w:cs="Arial"/>
          <w:color w:val="auto"/>
          <w:lang w:eastAsia="en-US"/>
        </w:rPr>
        <w:t>exemption is given in Appendix 1</w:t>
      </w:r>
      <w:r w:rsidRPr="007C3DD3">
        <w:rPr>
          <w:rFonts w:cs="Arial"/>
          <w:color w:val="auto"/>
          <w:lang w:eastAsia="en-US"/>
        </w:rPr>
        <w:t>.</w:t>
      </w:r>
    </w:p>
    <w:p w:rsidR="003C728D" w:rsidRPr="007C3DD3" w:rsidRDefault="003C728D" w:rsidP="003C728D">
      <w:pPr>
        <w:spacing w:after="0"/>
        <w:ind w:left="426"/>
        <w:rPr>
          <w:rFonts w:cs="Arial"/>
          <w:color w:val="auto"/>
          <w:lang w:eastAsia="en-US"/>
        </w:rPr>
      </w:pPr>
    </w:p>
    <w:p w:rsidR="003C728D" w:rsidRPr="00E73CBC" w:rsidRDefault="003C728D" w:rsidP="00AE0597">
      <w:pPr>
        <w:pStyle w:val="ListParagraph"/>
        <w:numPr>
          <w:ilvl w:val="0"/>
          <w:numId w:val="37"/>
        </w:numPr>
        <w:spacing w:after="0"/>
        <w:ind w:left="426" w:hanging="426"/>
        <w:jc w:val="both"/>
        <w:rPr>
          <w:rFonts w:cs="Arial"/>
          <w:color w:val="auto"/>
          <w:lang w:eastAsia="en-US"/>
        </w:rPr>
      </w:pPr>
      <w:r w:rsidRPr="00E73CBC">
        <w:rPr>
          <w:rFonts w:cs="Arial"/>
          <w:color w:val="auto"/>
          <w:lang w:eastAsia="en-US"/>
        </w:rPr>
        <w:t>As at 1 February 2022, 5,938 properties in Oxford were classified as being exempt from Council Tax out of 62,682 dwellings shown on the banding list at this date. If all those properties were occupied at an Average Band D figure of £2,130.64, the annual loss of income before any other reductions such as discounts or benefits etc. would be in the region of £12.6m.</w:t>
      </w:r>
    </w:p>
    <w:p w:rsidR="003C728D" w:rsidRDefault="003C728D" w:rsidP="003C728D">
      <w:pPr>
        <w:spacing w:after="0"/>
        <w:ind w:left="786"/>
        <w:rPr>
          <w:rFonts w:cs="Arial"/>
          <w:color w:val="auto"/>
          <w:lang w:eastAsia="en-US"/>
        </w:rPr>
      </w:pPr>
    </w:p>
    <w:p w:rsidR="003C728D" w:rsidRPr="00E73CBC" w:rsidRDefault="003C728D" w:rsidP="003C728D">
      <w:pPr>
        <w:spacing w:after="0"/>
        <w:rPr>
          <w:rFonts w:cs="Arial"/>
          <w:b/>
          <w:color w:val="auto"/>
          <w:lang w:eastAsia="en-US"/>
        </w:rPr>
      </w:pPr>
      <w:r w:rsidRPr="00E73CBC">
        <w:rPr>
          <w:rFonts w:cs="Arial"/>
          <w:b/>
          <w:color w:val="auto"/>
          <w:lang w:eastAsia="en-US"/>
        </w:rPr>
        <w:t>Empty properties</w:t>
      </w:r>
    </w:p>
    <w:p w:rsidR="003C728D" w:rsidRPr="00F8354F" w:rsidRDefault="003C728D" w:rsidP="003C728D">
      <w:pPr>
        <w:spacing w:after="0"/>
        <w:ind w:left="786"/>
        <w:rPr>
          <w:rFonts w:cs="Arial"/>
          <w:b/>
          <w:color w:val="auto"/>
          <w:u w:val="single"/>
          <w:lang w:eastAsia="en-US"/>
        </w:rPr>
      </w:pPr>
    </w:p>
    <w:p w:rsidR="003C728D" w:rsidRDefault="003C728D" w:rsidP="00AE0597">
      <w:pPr>
        <w:numPr>
          <w:ilvl w:val="0"/>
          <w:numId w:val="37"/>
        </w:numPr>
        <w:spacing w:after="0"/>
        <w:ind w:left="426" w:hanging="426"/>
        <w:jc w:val="both"/>
        <w:rPr>
          <w:rFonts w:cs="Arial"/>
          <w:color w:val="auto"/>
          <w:lang w:eastAsia="en-US"/>
        </w:rPr>
      </w:pPr>
      <w:r w:rsidRPr="007C3DD3">
        <w:rPr>
          <w:rFonts w:cs="Arial"/>
          <w:color w:val="auto"/>
          <w:lang w:eastAsia="en-US"/>
        </w:rPr>
        <w:t>Council Tax is payable on empty properties at 100% after the expiry of a period of one month</w:t>
      </w:r>
      <w:r>
        <w:rPr>
          <w:rFonts w:cs="Arial"/>
          <w:color w:val="auto"/>
          <w:lang w:eastAsia="en-US"/>
        </w:rPr>
        <w:t xml:space="preserve"> up to 2 years after which an additional ‘long term empty premium’ is levied as discussed below</w:t>
      </w:r>
      <w:r w:rsidRPr="007C3DD3">
        <w:rPr>
          <w:rFonts w:cs="Arial"/>
          <w:color w:val="auto"/>
          <w:lang w:eastAsia="en-US"/>
        </w:rPr>
        <w:t xml:space="preserve">. </w:t>
      </w:r>
      <w:r>
        <w:rPr>
          <w:rFonts w:cs="Arial"/>
          <w:color w:val="auto"/>
          <w:lang w:eastAsia="en-US"/>
        </w:rPr>
        <w:t>Empty properties as at 1</w:t>
      </w:r>
      <w:r w:rsidRPr="003F31B3">
        <w:rPr>
          <w:rFonts w:cs="Arial"/>
          <w:color w:val="auto"/>
          <w:vertAlign w:val="superscript"/>
          <w:lang w:eastAsia="en-US"/>
        </w:rPr>
        <w:t>st</w:t>
      </w:r>
      <w:r>
        <w:rPr>
          <w:rFonts w:cs="Arial"/>
          <w:color w:val="auto"/>
          <w:lang w:eastAsia="en-US"/>
        </w:rPr>
        <w:t xml:space="preserve"> February 2022 are shown in Table 1 below:</w:t>
      </w:r>
    </w:p>
    <w:p w:rsidR="003C728D" w:rsidRPr="007C3DD3" w:rsidRDefault="003C728D" w:rsidP="003C728D">
      <w:pPr>
        <w:spacing w:after="0"/>
        <w:ind w:left="786"/>
        <w:rPr>
          <w:rFonts w:cs="Arial"/>
          <w:color w:val="auto"/>
          <w:lang w:eastAsia="en-US"/>
        </w:rPr>
      </w:pPr>
    </w:p>
    <w:tbl>
      <w:tblPr>
        <w:tblStyle w:val="TableGrid"/>
        <w:tblW w:w="0" w:type="auto"/>
        <w:jc w:val="center"/>
        <w:tblLook w:val="04A0" w:firstRow="1" w:lastRow="0" w:firstColumn="1" w:lastColumn="0" w:noHBand="0" w:noVBand="1"/>
      </w:tblPr>
      <w:tblGrid>
        <w:gridCol w:w="1121"/>
        <w:gridCol w:w="1344"/>
        <w:gridCol w:w="1289"/>
        <w:gridCol w:w="1347"/>
        <w:gridCol w:w="1289"/>
        <w:gridCol w:w="1150"/>
        <w:gridCol w:w="1128"/>
      </w:tblGrid>
      <w:tr w:rsidR="003C728D" w:rsidTr="00AE0597">
        <w:trPr>
          <w:jc w:val="center"/>
        </w:trPr>
        <w:tc>
          <w:tcPr>
            <w:tcW w:w="8416" w:type="dxa"/>
            <w:gridSpan w:val="7"/>
            <w:shd w:val="clear" w:color="auto" w:fill="A6A6A6" w:themeFill="background1" w:themeFillShade="A6"/>
          </w:tcPr>
          <w:p w:rsidR="003C728D" w:rsidRPr="003F60CB" w:rsidRDefault="003C728D" w:rsidP="003C728D">
            <w:pPr>
              <w:spacing w:after="0"/>
              <w:rPr>
                <w:rFonts w:cs="Arial"/>
                <w:b/>
                <w:color w:val="auto"/>
                <w:sz w:val="22"/>
                <w:szCs w:val="22"/>
                <w:lang w:eastAsia="en-US"/>
              </w:rPr>
            </w:pPr>
            <w:r w:rsidRPr="003F60CB">
              <w:rPr>
                <w:rFonts w:cs="Arial"/>
                <w:b/>
                <w:color w:val="auto"/>
                <w:sz w:val="22"/>
                <w:szCs w:val="22"/>
                <w:lang w:eastAsia="en-US"/>
              </w:rPr>
              <w:t xml:space="preserve">Table 1: </w:t>
            </w:r>
            <w:r>
              <w:rPr>
                <w:rFonts w:cs="Arial"/>
                <w:b/>
                <w:color w:val="auto"/>
                <w:sz w:val="22"/>
                <w:szCs w:val="22"/>
                <w:lang w:eastAsia="en-US"/>
              </w:rPr>
              <w:t>Empty Properties as at 1/2/2022</w:t>
            </w:r>
          </w:p>
        </w:tc>
      </w:tr>
      <w:tr w:rsidR="003C728D" w:rsidTr="00AE0597">
        <w:trPr>
          <w:jc w:val="center"/>
        </w:trPr>
        <w:tc>
          <w:tcPr>
            <w:tcW w:w="869" w:type="dxa"/>
            <w:shd w:val="clear" w:color="auto" w:fill="A6A6A6" w:themeFill="background1" w:themeFillShade="A6"/>
          </w:tcPr>
          <w:p w:rsidR="003C728D" w:rsidRPr="003F60CB" w:rsidRDefault="003C728D" w:rsidP="003C728D">
            <w:pPr>
              <w:spacing w:after="0"/>
              <w:jc w:val="center"/>
              <w:rPr>
                <w:rFonts w:cs="Arial"/>
                <w:color w:val="auto"/>
                <w:sz w:val="22"/>
                <w:szCs w:val="22"/>
                <w:lang w:eastAsia="en-US"/>
              </w:rPr>
            </w:pPr>
            <w:r>
              <w:rPr>
                <w:rFonts w:cs="Arial"/>
                <w:color w:val="auto"/>
                <w:sz w:val="22"/>
                <w:szCs w:val="22"/>
                <w:lang w:eastAsia="en-US"/>
              </w:rPr>
              <w:t>Total number of dwellings</w:t>
            </w:r>
          </w:p>
        </w:tc>
        <w:tc>
          <w:tcPr>
            <w:tcW w:w="1344" w:type="dxa"/>
            <w:shd w:val="clear" w:color="auto" w:fill="A6A6A6" w:themeFill="background1" w:themeFillShade="A6"/>
          </w:tcPr>
          <w:p w:rsidR="003C728D" w:rsidRPr="003F60CB" w:rsidRDefault="003C728D" w:rsidP="003C728D">
            <w:pPr>
              <w:spacing w:after="0"/>
              <w:jc w:val="center"/>
              <w:rPr>
                <w:rFonts w:cs="Arial"/>
                <w:color w:val="auto"/>
                <w:sz w:val="22"/>
                <w:szCs w:val="22"/>
                <w:lang w:eastAsia="en-US"/>
              </w:rPr>
            </w:pPr>
            <w:r>
              <w:rPr>
                <w:rFonts w:cs="Arial"/>
                <w:color w:val="auto"/>
                <w:sz w:val="22"/>
                <w:szCs w:val="22"/>
                <w:lang w:eastAsia="en-US"/>
              </w:rPr>
              <w:t>Total number of e</w:t>
            </w:r>
            <w:r w:rsidRPr="003F60CB">
              <w:rPr>
                <w:rFonts w:cs="Arial"/>
                <w:color w:val="auto"/>
                <w:sz w:val="22"/>
                <w:szCs w:val="22"/>
                <w:lang w:eastAsia="en-US"/>
              </w:rPr>
              <w:t xml:space="preserve">mpty </w:t>
            </w:r>
            <w:r>
              <w:rPr>
                <w:rFonts w:cs="Arial"/>
                <w:color w:val="auto"/>
                <w:sz w:val="22"/>
                <w:szCs w:val="22"/>
                <w:lang w:eastAsia="en-US"/>
              </w:rPr>
              <w:t>dwellings</w:t>
            </w:r>
          </w:p>
        </w:tc>
        <w:tc>
          <w:tcPr>
            <w:tcW w:w="1289" w:type="dxa"/>
            <w:shd w:val="clear" w:color="auto" w:fill="A6A6A6" w:themeFill="background1" w:themeFillShade="A6"/>
          </w:tcPr>
          <w:p w:rsidR="003C728D" w:rsidRDefault="003C728D" w:rsidP="003C728D">
            <w:pPr>
              <w:spacing w:after="0"/>
              <w:jc w:val="center"/>
              <w:rPr>
                <w:rFonts w:cs="Arial"/>
                <w:color w:val="auto"/>
                <w:sz w:val="22"/>
                <w:szCs w:val="22"/>
                <w:lang w:eastAsia="en-US"/>
              </w:rPr>
            </w:pPr>
            <w:r w:rsidRPr="003F60CB">
              <w:rPr>
                <w:rFonts w:cs="Arial"/>
                <w:color w:val="auto"/>
                <w:sz w:val="22"/>
                <w:szCs w:val="22"/>
                <w:lang w:eastAsia="en-US"/>
              </w:rPr>
              <w:t>%</w:t>
            </w:r>
          </w:p>
          <w:p w:rsidR="003C728D" w:rsidRPr="003F60CB" w:rsidRDefault="003C728D" w:rsidP="003C728D">
            <w:pPr>
              <w:spacing w:after="0"/>
              <w:jc w:val="center"/>
              <w:rPr>
                <w:rFonts w:cs="Arial"/>
                <w:color w:val="auto"/>
                <w:sz w:val="22"/>
                <w:szCs w:val="22"/>
                <w:lang w:eastAsia="en-US"/>
              </w:rPr>
            </w:pPr>
          </w:p>
        </w:tc>
        <w:tc>
          <w:tcPr>
            <w:tcW w:w="1347" w:type="dxa"/>
            <w:shd w:val="clear" w:color="auto" w:fill="A6A6A6" w:themeFill="background1" w:themeFillShade="A6"/>
          </w:tcPr>
          <w:p w:rsidR="003C728D" w:rsidRPr="003F60CB" w:rsidRDefault="003C728D" w:rsidP="003C728D">
            <w:pPr>
              <w:spacing w:after="0"/>
              <w:jc w:val="center"/>
              <w:rPr>
                <w:rFonts w:cs="Arial"/>
                <w:color w:val="auto"/>
                <w:sz w:val="22"/>
                <w:szCs w:val="22"/>
                <w:lang w:eastAsia="en-US"/>
              </w:rPr>
            </w:pPr>
            <w:r w:rsidRPr="003F60CB">
              <w:rPr>
                <w:rFonts w:cs="Arial"/>
                <w:color w:val="auto"/>
                <w:sz w:val="22"/>
                <w:szCs w:val="22"/>
                <w:lang w:eastAsia="en-US"/>
              </w:rPr>
              <w:t>Empty</w:t>
            </w:r>
            <w:r>
              <w:rPr>
                <w:rFonts w:cs="Arial"/>
                <w:color w:val="auto"/>
                <w:sz w:val="22"/>
                <w:szCs w:val="22"/>
                <w:lang w:eastAsia="en-US"/>
              </w:rPr>
              <w:t xml:space="preserve"> for</w:t>
            </w:r>
            <w:r w:rsidRPr="003F60CB">
              <w:rPr>
                <w:rFonts w:cs="Arial"/>
                <w:color w:val="auto"/>
                <w:sz w:val="22"/>
                <w:szCs w:val="22"/>
                <w:lang w:eastAsia="en-US"/>
              </w:rPr>
              <w:t xml:space="preserve"> more than 6 months</w:t>
            </w:r>
          </w:p>
        </w:tc>
        <w:tc>
          <w:tcPr>
            <w:tcW w:w="1289" w:type="dxa"/>
            <w:shd w:val="clear" w:color="auto" w:fill="A6A6A6" w:themeFill="background1" w:themeFillShade="A6"/>
          </w:tcPr>
          <w:p w:rsidR="003C728D" w:rsidRDefault="003C728D" w:rsidP="003C728D">
            <w:pPr>
              <w:spacing w:after="0"/>
              <w:jc w:val="center"/>
              <w:rPr>
                <w:rFonts w:cs="Arial"/>
                <w:color w:val="auto"/>
                <w:sz w:val="22"/>
                <w:szCs w:val="22"/>
                <w:lang w:eastAsia="en-US"/>
              </w:rPr>
            </w:pPr>
            <w:r w:rsidRPr="003F60CB">
              <w:rPr>
                <w:rFonts w:cs="Arial"/>
                <w:color w:val="auto"/>
                <w:sz w:val="22"/>
                <w:szCs w:val="22"/>
                <w:lang w:eastAsia="en-US"/>
              </w:rPr>
              <w:t>%</w:t>
            </w:r>
          </w:p>
          <w:p w:rsidR="003C728D" w:rsidRPr="003F60CB" w:rsidRDefault="003C728D" w:rsidP="003C728D">
            <w:pPr>
              <w:spacing w:after="0"/>
              <w:jc w:val="center"/>
              <w:rPr>
                <w:rFonts w:cs="Arial"/>
                <w:color w:val="auto"/>
                <w:sz w:val="22"/>
                <w:szCs w:val="22"/>
                <w:lang w:eastAsia="en-US"/>
              </w:rPr>
            </w:pPr>
          </w:p>
        </w:tc>
        <w:tc>
          <w:tcPr>
            <w:tcW w:w="1150" w:type="dxa"/>
            <w:shd w:val="clear" w:color="auto" w:fill="A6A6A6" w:themeFill="background1" w:themeFillShade="A6"/>
          </w:tcPr>
          <w:p w:rsidR="003C728D" w:rsidRPr="003F60CB" w:rsidRDefault="003C728D" w:rsidP="003C728D">
            <w:pPr>
              <w:spacing w:after="0"/>
              <w:jc w:val="center"/>
              <w:rPr>
                <w:rFonts w:cs="Arial"/>
                <w:color w:val="auto"/>
                <w:sz w:val="22"/>
                <w:szCs w:val="22"/>
                <w:lang w:eastAsia="en-US"/>
              </w:rPr>
            </w:pPr>
            <w:r w:rsidRPr="003F60CB">
              <w:rPr>
                <w:rFonts w:cs="Arial"/>
                <w:color w:val="auto"/>
                <w:sz w:val="22"/>
                <w:szCs w:val="22"/>
                <w:lang w:eastAsia="en-US"/>
              </w:rPr>
              <w:t xml:space="preserve">Empty </w:t>
            </w:r>
            <w:r>
              <w:rPr>
                <w:rFonts w:cs="Arial"/>
                <w:color w:val="auto"/>
                <w:sz w:val="22"/>
                <w:szCs w:val="22"/>
                <w:lang w:eastAsia="en-US"/>
              </w:rPr>
              <w:t xml:space="preserve">for </w:t>
            </w:r>
            <w:r w:rsidRPr="003F60CB">
              <w:rPr>
                <w:rFonts w:cs="Arial"/>
                <w:color w:val="auto"/>
                <w:sz w:val="22"/>
                <w:szCs w:val="22"/>
                <w:lang w:eastAsia="en-US"/>
              </w:rPr>
              <w:t>2 years or more</w:t>
            </w:r>
          </w:p>
        </w:tc>
        <w:tc>
          <w:tcPr>
            <w:tcW w:w="1128" w:type="dxa"/>
            <w:shd w:val="clear" w:color="auto" w:fill="A6A6A6" w:themeFill="background1" w:themeFillShade="A6"/>
          </w:tcPr>
          <w:p w:rsidR="003C728D" w:rsidRPr="003F60CB" w:rsidRDefault="003C728D" w:rsidP="003C728D">
            <w:pPr>
              <w:spacing w:after="0"/>
              <w:jc w:val="center"/>
              <w:rPr>
                <w:rFonts w:cs="Arial"/>
                <w:color w:val="auto"/>
                <w:sz w:val="22"/>
                <w:szCs w:val="22"/>
                <w:lang w:eastAsia="en-US"/>
              </w:rPr>
            </w:pPr>
            <w:r w:rsidRPr="003F60CB">
              <w:rPr>
                <w:rFonts w:cs="Arial"/>
                <w:color w:val="auto"/>
                <w:sz w:val="22"/>
                <w:szCs w:val="22"/>
                <w:lang w:eastAsia="en-US"/>
              </w:rPr>
              <w:t>%</w:t>
            </w:r>
          </w:p>
        </w:tc>
      </w:tr>
      <w:tr w:rsidR="003C728D" w:rsidTr="00AE0597">
        <w:trPr>
          <w:jc w:val="center"/>
        </w:trPr>
        <w:tc>
          <w:tcPr>
            <w:tcW w:w="869"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62,682</w:t>
            </w:r>
          </w:p>
        </w:tc>
        <w:tc>
          <w:tcPr>
            <w:tcW w:w="1344"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901</w:t>
            </w:r>
          </w:p>
        </w:tc>
        <w:tc>
          <w:tcPr>
            <w:tcW w:w="1289"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1.44</w:t>
            </w:r>
          </w:p>
        </w:tc>
        <w:tc>
          <w:tcPr>
            <w:tcW w:w="1347"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525</w:t>
            </w:r>
          </w:p>
        </w:tc>
        <w:tc>
          <w:tcPr>
            <w:tcW w:w="1289"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0.84</w:t>
            </w:r>
          </w:p>
        </w:tc>
        <w:tc>
          <w:tcPr>
            <w:tcW w:w="1150"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94</w:t>
            </w:r>
          </w:p>
        </w:tc>
        <w:tc>
          <w:tcPr>
            <w:tcW w:w="1128" w:type="dxa"/>
          </w:tcPr>
          <w:p w:rsidR="003C728D" w:rsidRPr="003F60CB" w:rsidRDefault="003C728D" w:rsidP="003C728D">
            <w:pPr>
              <w:spacing w:after="0"/>
              <w:rPr>
                <w:rFonts w:cs="Arial"/>
                <w:color w:val="auto"/>
                <w:sz w:val="22"/>
                <w:szCs w:val="22"/>
                <w:lang w:eastAsia="en-US"/>
              </w:rPr>
            </w:pPr>
            <w:r w:rsidRPr="003F60CB">
              <w:rPr>
                <w:rFonts w:cs="Arial"/>
                <w:color w:val="auto"/>
                <w:sz w:val="22"/>
                <w:szCs w:val="22"/>
                <w:lang w:eastAsia="en-US"/>
              </w:rPr>
              <w:t>0.15</w:t>
            </w:r>
          </w:p>
        </w:tc>
      </w:tr>
    </w:tbl>
    <w:p w:rsidR="003C728D" w:rsidRDefault="003C728D" w:rsidP="003C728D">
      <w:pPr>
        <w:spacing w:after="0"/>
        <w:rPr>
          <w:rFonts w:cs="Arial"/>
          <w:color w:val="auto"/>
          <w:lang w:eastAsia="en-US"/>
        </w:rPr>
      </w:pPr>
    </w:p>
    <w:p w:rsidR="003C728D" w:rsidRDefault="003C728D" w:rsidP="00AE0597">
      <w:pPr>
        <w:numPr>
          <w:ilvl w:val="0"/>
          <w:numId w:val="37"/>
        </w:numPr>
        <w:spacing w:after="0"/>
        <w:ind w:left="426" w:hanging="426"/>
        <w:jc w:val="both"/>
        <w:rPr>
          <w:rFonts w:cs="Arial"/>
          <w:color w:val="auto"/>
          <w:lang w:eastAsia="en-US"/>
        </w:rPr>
      </w:pPr>
      <w:r>
        <w:rPr>
          <w:rFonts w:cs="Arial"/>
          <w:color w:val="auto"/>
          <w:lang w:eastAsia="en-US"/>
        </w:rPr>
        <w:t>A snapshot taken on 21 February 2022 shows there were 634 properties that had been empty for between 1 month and 2 years that would be liable for 100% Council Tax.</w:t>
      </w:r>
    </w:p>
    <w:p w:rsidR="003C728D" w:rsidRDefault="003C728D" w:rsidP="003C728D">
      <w:pPr>
        <w:spacing w:after="0"/>
        <w:ind w:left="709" w:hanging="283"/>
        <w:rPr>
          <w:rFonts w:cs="Arial"/>
          <w:color w:val="auto"/>
          <w:lang w:eastAsia="en-US"/>
        </w:rPr>
      </w:pPr>
    </w:p>
    <w:p w:rsidR="003C728D" w:rsidRDefault="003C728D" w:rsidP="003C728D">
      <w:pPr>
        <w:numPr>
          <w:ilvl w:val="0"/>
          <w:numId w:val="37"/>
        </w:numPr>
        <w:spacing w:after="0"/>
        <w:ind w:left="426" w:hanging="426"/>
        <w:rPr>
          <w:rFonts w:cs="Arial"/>
          <w:color w:val="auto"/>
          <w:lang w:eastAsia="en-US"/>
        </w:rPr>
      </w:pPr>
      <w:r>
        <w:rPr>
          <w:rFonts w:cs="Arial"/>
          <w:color w:val="auto"/>
          <w:lang w:eastAsia="en-US"/>
        </w:rPr>
        <w:t>These figures fluctuate daily as the Council is advised of changes to occupancy.</w:t>
      </w:r>
    </w:p>
    <w:p w:rsidR="003C728D" w:rsidRPr="00E73CBC" w:rsidRDefault="003C728D" w:rsidP="003C728D">
      <w:pPr>
        <w:spacing w:after="0"/>
        <w:ind w:left="720" w:hanging="720"/>
        <w:rPr>
          <w:rFonts w:cs="Arial"/>
          <w:b/>
          <w:color w:val="auto"/>
          <w:lang w:eastAsia="en-US"/>
        </w:rPr>
      </w:pPr>
    </w:p>
    <w:p w:rsidR="003C728D" w:rsidRPr="00E73CBC" w:rsidRDefault="003C728D" w:rsidP="003C728D">
      <w:pPr>
        <w:spacing w:after="0"/>
        <w:ind w:left="720" w:hanging="720"/>
        <w:rPr>
          <w:rFonts w:cs="Arial"/>
          <w:b/>
          <w:color w:val="auto"/>
          <w:lang w:eastAsia="en-US"/>
        </w:rPr>
      </w:pPr>
      <w:r w:rsidRPr="00E73CBC">
        <w:rPr>
          <w:rFonts w:cs="Arial"/>
          <w:b/>
          <w:color w:val="auto"/>
          <w:lang w:eastAsia="en-US"/>
        </w:rPr>
        <w:t>Long Term Empty Premium</w:t>
      </w:r>
    </w:p>
    <w:p w:rsidR="003C728D" w:rsidRPr="0014302D" w:rsidRDefault="003C728D" w:rsidP="003C728D">
      <w:pPr>
        <w:spacing w:after="0"/>
        <w:ind w:left="720"/>
        <w:rPr>
          <w:rFonts w:cs="Arial"/>
          <w:b/>
          <w:color w:val="auto"/>
          <w:u w:val="single"/>
          <w:lang w:eastAsia="en-US"/>
        </w:rPr>
      </w:pPr>
    </w:p>
    <w:p w:rsidR="003C728D" w:rsidRDefault="003C728D" w:rsidP="00AE0597">
      <w:pPr>
        <w:numPr>
          <w:ilvl w:val="0"/>
          <w:numId w:val="37"/>
        </w:numPr>
        <w:spacing w:after="0"/>
        <w:ind w:left="426" w:hanging="426"/>
        <w:jc w:val="both"/>
        <w:rPr>
          <w:rFonts w:cs="Arial"/>
          <w:color w:val="auto"/>
          <w:lang w:eastAsia="en-US"/>
        </w:rPr>
      </w:pPr>
      <w:r w:rsidRPr="0014302D">
        <w:rPr>
          <w:rFonts w:cs="Arial"/>
          <w:color w:val="auto"/>
          <w:lang w:eastAsia="en-US"/>
        </w:rPr>
        <w:t>Long term empty properties</w:t>
      </w:r>
      <w:r>
        <w:rPr>
          <w:rFonts w:cs="Arial"/>
          <w:color w:val="auto"/>
          <w:lang w:eastAsia="en-US"/>
        </w:rPr>
        <w:t xml:space="preserve"> i.e. those that are empty for 2 years or more</w:t>
      </w:r>
      <w:r w:rsidRPr="0014302D">
        <w:rPr>
          <w:rFonts w:cs="Arial"/>
          <w:color w:val="auto"/>
          <w:lang w:eastAsia="en-US"/>
        </w:rPr>
        <w:t xml:space="preserve"> can have their </w:t>
      </w:r>
      <w:r>
        <w:rPr>
          <w:rFonts w:cs="Arial"/>
          <w:color w:val="auto"/>
          <w:lang w:eastAsia="en-US"/>
        </w:rPr>
        <w:t xml:space="preserve">Council Tax liability </w:t>
      </w:r>
      <w:r w:rsidRPr="0014302D">
        <w:rPr>
          <w:rFonts w:cs="Arial"/>
          <w:color w:val="auto"/>
          <w:lang w:eastAsia="en-US"/>
        </w:rPr>
        <w:t>charge increased</w:t>
      </w:r>
      <w:r>
        <w:rPr>
          <w:rFonts w:cs="Arial"/>
          <w:color w:val="auto"/>
          <w:lang w:eastAsia="en-US"/>
        </w:rPr>
        <w:t>. T</w:t>
      </w:r>
      <w:r w:rsidRPr="0014302D">
        <w:rPr>
          <w:rFonts w:cs="Arial"/>
          <w:color w:val="auto"/>
          <w:lang w:eastAsia="en-US"/>
        </w:rPr>
        <w:t>his is referred to as the Long Term Empty Premium</w:t>
      </w:r>
      <w:r>
        <w:rPr>
          <w:rFonts w:cs="Arial"/>
          <w:color w:val="auto"/>
          <w:lang w:eastAsia="en-US"/>
        </w:rPr>
        <w:t xml:space="preserve">. The Council has discretion under the </w:t>
      </w:r>
      <w:r w:rsidRPr="005B402E">
        <w:rPr>
          <w:rFonts w:cs="Arial"/>
          <w:color w:val="auto"/>
        </w:rPr>
        <w:t>Rating (Property in Common Occupation) and Council Tax (Empty Dwellings) Act 2018</w:t>
      </w:r>
      <w:r>
        <w:rPr>
          <w:rFonts w:cs="Arial"/>
          <w:color w:val="auto"/>
        </w:rPr>
        <w:t xml:space="preserve"> to increase the amount of Council Tax payable dependant on how long a property has been empty.</w:t>
      </w:r>
    </w:p>
    <w:p w:rsidR="003C728D" w:rsidRDefault="003C728D" w:rsidP="003C728D">
      <w:pPr>
        <w:spacing w:after="0"/>
        <w:ind w:left="851" w:hanging="425"/>
        <w:rPr>
          <w:rFonts w:cs="Arial"/>
          <w:color w:val="auto"/>
          <w:lang w:eastAsia="en-US"/>
        </w:rPr>
      </w:pPr>
    </w:p>
    <w:p w:rsidR="003C728D" w:rsidRPr="005B402E" w:rsidRDefault="003C728D" w:rsidP="00AE0597">
      <w:pPr>
        <w:numPr>
          <w:ilvl w:val="0"/>
          <w:numId w:val="37"/>
        </w:numPr>
        <w:spacing w:after="0"/>
        <w:ind w:left="426" w:hanging="426"/>
        <w:jc w:val="both"/>
        <w:rPr>
          <w:rFonts w:cs="Arial"/>
          <w:color w:val="auto"/>
          <w:lang w:eastAsia="en-US"/>
        </w:rPr>
      </w:pPr>
      <w:r w:rsidRPr="005B402E">
        <w:rPr>
          <w:rFonts w:cs="Arial"/>
          <w:color w:val="auto"/>
        </w:rPr>
        <w:t>A</w:t>
      </w:r>
      <w:r>
        <w:rPr>
          <w:rFonts w:cs="Arial"/>
          <w:color w:val="auto"/>
        </w:rPr>
        <w:t xml:space="preserve">t its </w:t>
      </w:r>
      <w:r w:rsidRPr="005B402E">
        <w:rPr>
          <w:rFonts w:cs="Arial"/>
          <w:color w:val="auto"/>
        </w:rPr>
        <w:t>meeting o</w:t>
      </w:r>
      <w:r>
        <w:rPr>
          <w:rFonts w:cs="Arial"/>
          <w:color w:val="auto"/>
        </w:rPr>
        <w:t>n</w:t>
      </w:r>
      <w:r w:rsidRPr="005B402E">
        <w:rPr>
          <w:rFonts w:cs="Arial"/>
          <w:color w:val="auto"/>
        </w:rPr>
        <w:t xml:space="preserve"> 13 February 2019 </w:t>
      </w:r>
      <w:r w:rsidRPr="00654752">
        <w:rPr>
          <w:rFonts w:cs="Arial"/>
          <w:color w:val="auto"/>
        </w:rPr>
        <w:t xml:space="preserve">the Council </w:t>
      </w:r>
      <w:r>
        <w:rPr>
          <w:rFonts w:cs="Arial"/>
          <w:color w:val="auto"/>
        </w:rPr>
        <w:t>resolved</w:t>
      </w:r>
      <w:r w:rsidRPr="005B402E">
        <w:rPr>
          <w:rFonts w:cs="Arial"/>
          <w:color w:val="auto"/>
        </w:rPr>
        <w:t xml:space="preserve"> the Long Term E</w:t>
      </w:r>
      <w:r>
        <w:rPr>
          <w:rFonts w:cs="Arial"/>
          <w:color w:val="auto"/>
        </w:rPr>
        <w:t>mpty Property Premium, as an addition to the Council Tax charge, (then</w:t>
      </w:r>
      <w:r w:rsidRPr="005B402E">
        <w:rPr>
          <w:rFonts w:cs="Arial"/>
          <w:color w:val="auto"/>
        </w:rPr>
        <w:t xml:space="preserve"> set at 50%) be increased in accordance with the Rating (Property in Common Occupation) and Council Tax (Empty Dwellings) Act 2018 to:</w:t>
      </w:r>
    </w:p>
    <w:p w:rsidR="003C728D" w:rsidRPr="005B402E" w:rsidRDefault="003C728D" w:rsidP="003C728D">
      <w:pPr>
        <w:numPr>
          <w:ilvl w:val="0"/>
          <w:numId w:val="35"/>
        </w:numPr>
        <w:shd w:val="clear" w:color="auto" w:fill="FFFFFF"/>
        <w:spacing w:before="100" w:beforeAutospacing="1" w:after="100" w:afterAutospacing="1"/>
        <w:rPr>
          <w:rFonts w:cs="Arial"/>
          <w:color w:val="auto"/>
        </w:rPr>
      </w:pPr>
      <w:r w:rsidRPr="005B402E">
        <w:rPr>
          <w:rFonts w:cs="Arial"/>
          <w:color w:val="auto"/>
        </w:rPr>
        <w:t>100% from 1 April 2019 for those properties which are empty for 2 years and over</w:t>
      </w:r>
    </w:p>
    <w:p w:rsidR="003C728D" w:rsidRPr="005B402E" w:rsidRDefault="003C728D" w:rsidP="003C728D">
      <w:pPr>
        <w:numPr>
          <w:ilvl w:val="0"/>
          <w:numId w:val="35"/>
        </w:numPr>
        <w:shd w:val="clear" w:color="auto" w:fill="FFFFFF"/>
        <w:spacing w:before="100" w:beforeAutospacing="1" w:after="100" w:afterAutospacing="1"/>
        <w:rPr>
          <w:rFonts w:cs="Arial"/>
          <w:color w:val="auto"/>
        </w:rPr>
      </w:pPr>
      <w:r w:rsidRPr="005B402E">
        <w:rPr>
          <w:rFonts w:cs="Arial"/>
          <w:color w:val="auto"/>
        </w:rPr>
        <w:t>200% from 1 April 2020 for those properties which are empty for 5 years and over</w:t>
      </w:r>
    </w:p>
    <w:p w:rsidR="003C728D" w:rsidRDefault="003C728D" w:rsidP="003C728D">
      <w:pPr>
        <w:numPr>
          <w:ilvl w:val="0"/>
          <w:numId w:val="35"/>
        </w:numPr>
        <w:shd w:val="clear" w:color="auto" w:fill="FFFFFF"/>
        <w:spacing w:before="100" w:beforeAutospacing="1" w:after="100" w:afterAutospacing="1"/>
        <w:rPr>
          <w:rFonts w:cs="Arial"/>
          <w:color w:val="auto"/>
        </w:rPr>
      </w:pPr>
      <w:r w:rsidRPr="005B402E">
        <w:rPr>
          <w:rFonts w:cs="Arial"/>
          <w:color w:val="auto"/>
        </w:rPr>
        <w:t>300% from 1 April 2021 for those properties which are empty for 10 years and over</w:t>
      </w:r>
    </w:p>
    <w:p w:rsidR="003C728D" w:rsidRPr="00AE0597" w:rsidRDefault="003C728D" w:rsidP="00AE0597">
      <w:pPr>
        <w:pStyle w:val="ListParagraph"/>
        <w:numPr>
          <w:ilvl w:val="0"/>
          <w:numId w:val="37"/>
        </w:numPr>
        <w:shd w:val="clear" w:color="auto" w:fill="FFFFFF"/>
        <w:spacing w:before="100" w:beforeAutospacing="1" w:after="0" w:afterAutospacing="1"/>
        <w:ind w:left="426" w:hanging="426"/>
        <w:jc w:val="both"/>
        <w:rPr>
          <w:rFonts w:cs="Arial"/>
          <w:b/>
          <w:color w:val="auto"/>
          <w:u w:val="single"/>
          <w:lang w:eastAsia="en-US"/>
        </w:rPr>
      </w:pPr>
      <w:r w:rsidRPr="00AE0597">
        <w:rPr>
          <w:rFonts w:cs="Arial"/>
          <w:color w:val="auto"/>
        </w:rPr>
        <w:t>The premiums have been charged in line with the rates above. As the premium applies to a property, should that property remain empty following a change of ownership or tenancy, the premium is not removed.</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407"/>
        <w:gridCol w:w="1570"/>
        <w:gridCol w:w="1382"/>
        <w:gridCol w:w="1573"/>
      </w:tblGrid>
      <w:tr w:rsidR="003C728D" w:rsidRPr="00E21F0C" w:rsidTr="00AE0597">
        <w:trPr>
          <w:trHeight w:val="370"/>
          <w:jc w:val="center"/>
        </w:trPr>
        <w:tc>
          <w:tcPr>
            <w:tcW w:w="5565" w:type="dxa"/>
            <w:gridSpan w:val="3"/>
            <w:shd w:val="clear" w:color="auto" w:fill="A6A6A6" w:themeFill="background1" w:themeFillShade="A6"/>
            <w:vAlign w:val="center"/>
          </w:tcPr>
          <w:p w:rsidR="003C728D" w:rsidRPr="00E21F0C" w:rsidRDefault="003C728D" w:rsidP="003C728D">
            <w:pPr>
              <w:spacing w:after="0"/>
              <w:rPr>
                <w:rFonts w:cs="Arial"/>
                <w:b/>
                <w:color w:val="auto"/>
                <w:sz w:val="22"/>
                <w:szCs w:val="22"/>
                <w:lang w:eastAsia="en-US"/>
              </w:rPr>
            </w:pPr>
            <w:r>
              <w:rPr>
                <w:rFonts w:cs="Arial"/>
                <w:b/>
                <w:color w:val="auto"/>
                <w:sz w:val="22"/>
                <w:szCs w:val="22"/>
                <w:lang w:eastAsia="en-US"/>
              </w:rPr>
              <w:t>Table 2</w:t>
            </w:r>
            <w:r w:rsidRPr="00E21F0C">
              <w:rPr>
                <w:rFonts w:cs="Arial"/>
                <w:b/>
                <w:color w:val="auto"/>
                <w:sz w:val="22"/>
                <w:szCs w:val="22"/>
                <w:lang w:eastAsia="en-US"/>
              </w:rPr>
              <w:t xml:space="preserve"> :  Council Tax premium as at 21/3/22</w:t>
            </w:r>
          </w:p>
        </w:tc>
        <w:tc>
          <w:tcPr>
            <w:tcW w:w="1382" w:type="dxa"/>
            <w:shd w:val="clear" w:color="auto" w:fill="A6A6A6" w:themeFill="background1" w:themeFillShade="A6"/>
          </w:tcPr>
          <w:p w:rsidR="003C728D" w:rsidRPr="00E21F0C" w:rsidRDefault="003C728D" w:rsidP="003C728D">
            <w:pPr>
              <w:spacing w:after="0"/>
              <w:rPr>
                <w:rFonts w:cs="Arial"/>
                <w:b/>
                <w:color w:val="auto"/>
                <w:sz w:val="22"/>
                <w:szCs w:val="22"/>
                <w:lang w:eastAsia="en-US"/>
              </w:rPr>
            </w:pPr>
          </w:p>
        </w:tc>
        <w:tc>
          <w:tcPr>
            <w:tcW w:w="1573" w:type="dxa"/>
            <w:shd w:val="clear" w:color="auto" w:fill="A6A6A6" w:themeFill="background1" w:themeFillShade="A6"/>
          </w:tcPr>
          <w:p w:rsidR="003C728D" w:rsidRPr="00E21F0C" w:rsidRDefault="003C728D" w:rsidP="003C728D">
            <w:pPr>
              <w:spacing w:after="0"/>
              <w:rPr>
                <w:rFonts w:cs="Arial"/>
                <w:b/>
                <w:color w:val="auto"/>
                <w:sz w:val="22"/>
                <w:szCs w:val="22"/>
                <w:lang w:eastAsia="en-US"/>
              </w:rPr>
            </w:pPr>
          </w:p>
        </w:tc>
      </w:tr>
      <w:tr w:rsidR="003C728D" w:rsidRPr="00E21F0C" w:rsidTr="00AE0597">
        <w:trPr>
          <w:trHeight w:val="370"/>
          <w:jc w:val="center"/>
        </w:trPr>
        <w:tc>
          <w:tcPr>
            <w:tcW w:w="2588" w:type="dxa"/>
            <w:shd w:val="clear" w:color="auto" w:fill="A6A6A6" w:themeFill="background1" w:themeFillShade="A6"/>
            <w:vAlign w:val="center"/>
          </w:tcPr>
          <w:p w:rsidR="003C728D" w:rsidRPr="00E21F0C" w:rsidRDefault="003C728D" w:rsidP="00AE0597">
            <w:pPr>
              <w:spacing w:after="0"/>
              <w:jc w:val="right"/>
              <w:rPr>
                <w:rFonts w:cs="Arial"/>
                <w:b/>
                <w:color w:val="auto"/>
                <w:sz w:val="22"/>
                <w:szCs w:val="22"/>
                <w:lang w:eastAsia="en-US"/>
              </w:rPr>
            </w:pPr>
            <w:r w:rsidRPr="00E21F0C">
              <w:rPr>
                <w:rFonts w:cs="Arial"/>
                <w:b/>
                <w:color w:val="auto"/>
                <w:sz w:val="22"/>
                <w:szCs w:val="22"/>
                <w:lang w:eastAsia="en-US"/>
              </w:rPr>
              <w:t>Type of premium</w:t>
            </w:r>
          </w:p>
        </w:tc>
        <w:tc>
          <w:tcPr>
            <w:tcW w:w="1407" w:type="dxa"/>
            <w:shd w:val="clear" w:color="auto" w:fill="A6A6A6" w:themeFill="background1" w:themeFillShade="A6"/>
            <w:vAlign w:val="center"/>
          </w:tcPr>
          <w:p w:rsidR="003C728D" w:rsidRDefault="003C728D" w:rsidP="00AE0597">
            <w:pPr>
              <w:spacing w:after="0"/>
              <w:jc w:val="right"/>
              <w:rPr>
                <w:rFonts w:cs="Arial"/>
                <w:b/>
                <w:color w:val="auto"/>
                <w:sz w:val="22"/>
                <w:szCs w:val="22"/>
                <w:lang w:eastAsia="en-US"/>
              </w:rPr>
            </w:pPr>
            <w:r>
              <w:rPr>
                <w:rFonts w:cs="Arial"/>
                <w:b/>
                <w:color w:val="auto"/>
                <w:sz w:val="22"/>
                <w:szCs w:val="22"/>
                <w:lang w:eastAsia="en-US"/>
              </w:rPr>
              <w:t>Empty</w:t>
            </w:r>
          </w:p>
          <w:p w:rsidR="003C728D" w:rsidRPr="00E21F0C" w:rsidRDefault="003C728D" w:rsidP="00AE0597">
            <w:pPr>
              <w:spacing w:after="0"/>
              <w:jc w:val="right"/>
              <w:rPr>
                <w:rFonts w:cs="Arial"/>
                <w:b/>
                <w:color w:val="auto"/>
                <w:sz w:val="22"/>
                <w:szCs w:val="22"/>
                <w:lang w:eastAsia="en-US"/>
              </w:rPr>
            </w:pPr>
            <w:r>
              <w:rPr>
                <w:rFonts w:cs="Arial"/>
                <w:b/>
                <w:color w:val="auto"/>
                <w:sz w:val="22"/>
                <w:szCs w:val="22"/>
                <w:lang w:eastAsia="en-US"/>
              </w:rPr>
              <w:t>properties</w:t>
            </w:r>
          </w:p>
        </w:tc>
        <w:tc>
          <w:tcPr>
            <w:tcW w:w="1570" w:type="dxa"/>
            <w:shd w:val="clear" w:color="auto" w:fill="A6A6A6" w:themeFill="background1" w:themeFillShade="A6"/>
            <w:vAlign w:val="center"/>
          </w:tcPr>
          <w:p w:rsidR="003C728D" w:rsidRPr="00E21F0C" w:rsidRDefault="003C728D" w:rsidP="00AE0597">
            <w:pPr>
              <w:spacing w:after="0"/>
              <w:jc w:val="right"/>
              <w:rPr>
                <w:rFonts w:cs="Arial"/>
                <w:b/>
                <w:color w:val="auto"/>
                <w:sz w:val="22"/>
                <w:szCs w:val="22"/>
                <w:lang w:eastAsia="en-US"/>
              </w:rPr>
            </w:pPr>
            <w:r w:rsidRPr="00E21F0C">
              <w:rPr>
                <w:rFonts w:cs="Arial"/>
                <w:b/>
                <w:color w:val="auto"/>
                <w:sz w:val="22"/>
                <w:szCs w:val="22"/>
                <w:lang w:eastAsia="en-US"/>
              </w:rPr>
              <w:t xml:space="preserve">Additional premium </w:t>
            </w:r>
          </w:p>
        </w:tc>
        <w:tc>
          <w:tcPr>
            <w:tcW w:w="1382" w:type="dxa"/>
            <w:shd w:val="clear" w:color="auto" w:fill="A6A6A6" w:themeFill="background1" w:themeFillShade="A6"/>
          </w:tcPr>
          <w:p w:rsidR="003C728D" w:rsidRPr="00E21F0C" w:rsidRDefault="003C728D" w:rsidP="00AE0597">
            <w:pPr>
              <w:spacing w:after="0"/>
              <w:jc w:val="right"/>
              <w:rPr>
                <w:rFonts w:cs="Arial"/>
                <w:b/>
                <w:color w:val="auto"/>
                <w:sz w:val="22"/>
                <w:szCs w:val="22"/>
                <w:lang w:eastAsia="en-US"/>
              </w:rPr>
            </w:pPr>
            <w:r w:rsidRPr="00E21F0C">
              <w:rPr>
                <w:rFonts w:cs="Arial"/>
                <w:b/>
                <w:color w:val="auto"/>
                <w:sz w:val="22"/>
                <w:szCs w:val="22"/>
                <w:lang w:eastAsia="en-US"/>
              </w:rPr>
              <w:t>Total Charge</w:t>
            </w:r>
          </w:p>
        </w:tc>
        <w:tc>
          <w:tcPr>
            <w:tcW w:w="1573" w:type="dxa"/>
            <w:shd w:val="clear" w:color="auto" w:fill="A6A6A6" w:themeFill="background1" w:themeFillShade="A6"/>
          </w:tcPr>
          <w:p w:rsidR="003C728D" w:rsidRPr="00E21F0C" w:rsidRDefault="003C728D" w:rsidP="00AE0597">
            <w:pPr>
              <w:spacing w:after="0"/>
              <w:jc w:val="right"/>
              <w:rPr>
                <w:rFonts w:cs="Arial"/>
                <w:b/>
                <w:color w:val="auto"/>
                <w:sz w:val="22"/>
                <w:szCs w:val="22"/>
                <w:lang w:eastAsia="en-US"/>
              </w:rPr>
            </w:pPr>
            <w:r w:rsidRPr="00E21F0C">
              <w:rPr>
                <w:rFonts w:cs="Arial"/>
                <w:b/>
                <w:color w:val="auto"/>
                <w:sz w:val="22"/>
                <w:szCs w:val="22"/>
                <w:lang w:eastAsia="en-US"/>
              </w:rPr>
              <w:t>Collection rate</w:t>
            </w:r>
          </w:p>
        </w:tc>
      </w:tr>
      <w:tr w:rsidR="003C728D" w:rsidRPr="00E21F0C" w:rsidTr="00AE0597">
        <w:trPr>
          <w:trHeight w:val="370"/>
          <w:jc w:val="center"/>
        </w:trPr>
        <w:tc>
          <w:tcPr>
            <w:tcW w:w="2588" w:type="dxa"/>
            <w:shd w:val="clear" w:color="auto" w:fill="A6A6A6" w:themeFill="background1" w:themeFillShade="A6"/>
            <w:vAlign w:val="center"/>
          </w:tcPr>
          <w:p w:rsidR="003C728D" w:rsidRPr="00E21F0C" w:rsidRDefault="003C728D" w:rsidP="003C728D">
            <w:pPr>
              <w:spacing w:after="0"/>
              <w:jc w:val="right"/>
              <w:rPr>
                <w:rFonts w:cs="Arial"/>
                <w:b/>
                <w:color w:val="auto"/>
                <w:sz w:val="22"/>
                <w:szCs w:val="22"/>
                <w:lang w:eastAsia="en-US"/>
              </w:rPr>
            </w:pPr>
          </w:p>
        </w:tc>
        <w:tc>
          <w:tcPr>
            <w:tcW w:w="1407" w:type="dxa"/>
            <w:shd w:val="clear" w:color="auto" w:fill="A6A6A6" w:themeFill="background1" w:themeFillShade="A6"/>
            <w:vAlign w:val="center"/>
          </w:tcPr>
          <w:p w:rsidR="003C728D" w:rsidRPr="00E21F0C" w:rsidRDefault="003C728D" w:rsidP="003C728D">
            <w:pPr>
              <w:spacing w:after="0"/>
              <w:jc w:val="center"/>
              <w:rPr>
                <w:rFonts w:cs="Arial"/>
                <w:b/>
                <w:color w:val="auto"/>
                <w:sz w:val="22"/>
                <w:szCs w:val="22"/>
                <w:lang w:eastAsia="en-US"/>
              </w:rPr>
            </w:pPr>
            <w:r>
              <w:rPr>
                <w:rFonts w:cs="Arial"/>
                <w:b/>
                <w:color w:val="auto"/>
                <w:sz w:val="22"/>
                <w:szCs w:val="22"/>
                <w:lang w:eastAsia="en-US"/>
              </w:rPr>
              <w:t>Nos.</w:t>
            </w:r>
          </w:p>
        </w:tc>
        <w:tc>
          <w:tcPr>
            <w:tcW w:w="1570" w:type="dxa"/>
            <w:shd w:val="clear" w:color="auto" w:fill="A6A6A6" w:themeFill="background1" w:themeFillShade="A6"/>
            <w:vAlign w:val="center"/>
          </w:tcPr>
          <w:p w:rsidR="003C728D" w:rsidRPr="00E21F0C" w:rsidRDefault="003C728D" w:rsidP="003C728D">
            <w:pPr>
              <w:spacing w:after="0"/>
              <w:jc w:val="center"/>
              <w:rPr>
                <w:rFonts w:cs="Arial"/>
                <w:b/>
                <w:color w:val="auto"/>
                <w:sz w:val="22"/>
                <w:szCs w:val="22"/>
                <w:lang w:eastAsia="en-US"/>
              </w:rPr>
            </w:pPr>
            <w:r>
              <w:rPr>
                <w:rFonts w:cs="Arial"/>
                <w:b/>
                <w:color w:val="auto"/>
                <w:sz w:val="22"/>
                <w:szCs w:val="22"/>
                <w:lang w:eastAsia="en-US"/>
              </w:rPr>
              <w:t>%</w:t>
            </w:r>
          </w:p>
        </w:tc>
        <w:tc>
          <w:tcPr>
            <w:tcW w:w="1382" w:type="dxa"/>
            <w:shd w:val="clear" w:color="auto" w:fill="A6A6A6" w:themeFill="background1" w:themeFillShade="A6"/>
          </w:tcPr>
          <w:p w:rsidR="003C728D" w:rsidRPr="00E21F0C" w:rsidRDefault="003C728D" w:rsidP="003C728D">
            <w:pPr>
              <w:spacing w:after="0"/>
              <w:jc w:val="center"/>
              <w:rPr>
                <w:rFonts w:cs="Arial"/>
                <w:b/>
                <w:color w:val="auto"/>
                <w:sz w:val="22"/>
                <w:szCs w:val="22"/>
                <w:lang w:eastAsia="en-US"/>
              </w:rPr>
            </w:pPr>
            <w:r>
              <w:rPr>
                <w:rFonts w:cs="Arial"/>
                <w:b/>
                <w:color w:val="auto"/>
                <w:sz w:val="22"/>
                <w:szCs w:val="22"/>
                <w:lang w:eastAsia="en-US"/>
              </w:rPr>
              <w:t>£</w:t>
            </w:r>
          </w:p>
        </w:tc>
        <w:tc>
          <w:tcPr>
            <w:tcW w:w="1573" w:type="dxa"/>
            <w:shd w:val="clear" w:color="auto" w:fill="A6A6A6" w:themeFill="background1" w:themeFillShade="A6"/>
          </w:tcPr>
          <w:p w:rsidR="003C728D" w:rsidRPr="00E21F0C" w:rsidRDefault="003C728D" w:rsidP="003C728D">
            <w:pPr>
              <w:spacing w:after="0"/>
              <w:jc w:val="center"/>
              <w:rPr>
                <w:rFonts w:cs="Arial"/>
                <w:b/>
                <w:color w:val="auto"/>
                <w:sz w:val="22"/>
                <w:szCs w:val="22"/>
                <w:lang w:eastAsia="en-US"/>
              </w:rPr>
            </w:pPr>
            <w:r>
              <w:rPr>
                <w:rFonts w:cs="Arial"/>
                <w:b/>
                <w:color w:val="auto"/>
                <w:sz w:val="22"/>
                <w:szCs w:val="22"/>
                <w:lang w:eastAsia="en-US"/>
              </w:rPr>
              <w:t>%</w:t>
            </w:r>
          </w:p>
        </w:tc>
      </w:tr>
      <w:tr w:rsidR="003C728D" w:rsidRPr="00E21F0C" w:rsidTr="00AE0597">
        <w:trPr>
          <w:trHeight w:val="370"/>
          <w:jc w:val="center"/>
        </w:trPr>
        <w:tc>
          <w:tcPr>
            <w:tcW w:w="2588" w:type="dxa"/>
          </w:tcPr>
          <w:p w:rsidR="003C728D" w:rsidRPr="00E21F0C" w:rsidRDefault="003C728D" w:rsidP="003C728D">
            <w:pPr>
              <w:jc w:val="right"/>
              <w:rPr>
                <w:sz w:val="22"/>
                <w:szCs w:val="22"/>
              </w:rPr>
            </w:pPr>
            <w:r w:rsidRPr="00E21F0C">
              <w:rPr>
                <w:sz w:val="22"/>
                <w:szCs w:val="22"/>
              </w:rPr>
              <w:t xml:space="preserve">Premium (empty over 2 to </w:t>
            </w:r>
            <w:r w:rsidRPr="00E21F0C">
              <w:rPr>
                <w:rFonts w:cstheme="minorHAnsi"/>
                <w:sz w:val="22"/>
                <w:szCs w:val="22"/>
              </w:rPr>
              <w:t>≤</w:t>
            </w:r>
            <w:r w:rsidRPr="00E21F0C">
              <w:rPr>
                <w:sz w:val="22"/>
                <w:szCs w:val="22"/>
              </w:rPr>
              <w:t xml:space="preserve"> 5 years)</w:t>
            </w:r>
          </w:p>
        </w:tc>
        <w:tc>
          <w:tcPr>
            <w:tcW w:w="1407"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94</w:t>
            </w:r>
          </w:p>
        </w:tc>
        <w:tc>
          <w:tcPr>
            <w:tcW w:w="1570"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100</w:t>
            </w:r>
          </w:p>
        </w:tc>
        <w:tc>
          <w:tcPr>
            <w:tcW w:w="1382" w:type="dxa"/>
            <w:vAlign w:val="center"/>
          </w:tcPr>
          <w:p w:rsidR="003C728D" w:rsidRPr="00E21F0C" w:rsidRDefault="003C728D" w:rsidP="003C728D">
            <w:pPr>
              <w:spacing w:after="0"/>
              <w:jc w:val="right"/>
              <w:rPr>
                <w:rFonts w:cs="Arial"/>
                <w:color w:val="auto"/>
                <w:sz w:val="22"/>
                <w:szCs w:val="22"/>
                <w:lang w:eastAsia="en-US"/>
              </w:rPr>
            </w:pPr>
            <w:r w:rsidRPr="00E21F0C">
              <w:t>340,337</w:t>
            </w:r>
          </w:p>
        </w:tc>
        <w:tc>
          <w:tcPr>
            <w:tcW w:w="1573" w:type="dxa"/>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87.57</w:t>
            </w:r>
          </w:p>
        </w:tc>
      </w:tr>
      <w:tr w:rsidR="003C728D" w:rsidRPr="00E21F0C" w:rsidTr="00AE0597">
        <w:trPr>
          <w:trHeight w:val="370"/>
          <w:jc w:val="center"/>
        </w:trPr>
        <w:tc>
          <w:tcPr>
            <w:tcW w:w="2588" w:type="dxa"/>
          </w:tcPr>
          <w:p w:rsidR="003C728D" w:rsidRPr="00E21F0C" w:rsidRDefault="003C728D" w:rsidP="003C728D">
            <w:pPr>
              <w:jc w:val="right"/>
              <w:rPr>
                <w:sz w:val="22"/>
                <w:szCs w:val="22"/>
              </w:rPr>
            </w:pPr>
            <w:r w:rsidRPr="00E21F0C">
              <w:rPr>
                <w:sz w:val="22"/>
                <w:szCs w:val="22"/>
              </w:rPr>
              <w:t xml:space="preserve">Premium 1 (empty over 5 to </w:t>
            </w:r>
            <w:r w:rsidRPr="00E21F0C">
              <w:rPr>
                <w:rFonts w:cstheme="minorHAnsi"/>
                <w:sz w:val="22"/>
                <w:szCs w:val="22"/>
              </w:rPr>
              <w:t>≤</w:t>
            </w:r>
            <w:r w:rsidRPr="00E21F0C">
              <w:rPr>
                <w:sz w:val="22"/>
                <w:szCs w:val="22"/>
              </w:rPr>
              <w:t>10 years)</w:t>
            </w:r>
          </w:p>
        </w:tc>
        <w:tc>
          <w:tcPr>
            <w:tcW w:w="1407"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22</w:t>
            </w:r>
          </w:p>
        </w:tc>
        <w:tc>
          <w:tcPr>
            <w:tcW w:w="1570"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200</w:t>
            </w:r>
          </w:p>
        </w:tc>
        <w:tc>
          <w:tcPr>
            <w:tcW w:w="1382" w:type="dxa"/>
            <w:vAlign w:val="center"/>
          </w:tcPr>
          <w:p w:rsidR="003C728D" w:rsidRPr="00E21F0C" w:rsidRDefault="003C728D" w:rsidP="003C728D">
            <w:pPr>
              <w:spacing w:after="0"/>
              <w:jc w:val="right"/>
              <w:rPr>
                <w:rFonts w:cs="Arial"/>
                <w:color w:val="auto"/>
                <w:sz w:val="22"/>
                <w:szCs w:val="22"/>
                <w:lang w:eastAsia="en-US"/>
              </w:rPr>
            </w:pPr>
            <w:r w:rsidRPr="00E21F0C">
              <w:t>112,370</w:t>
            </w:r>
          </w:p>
        </w:tc>
        <w:tc>
          <w:tcPr>
            <w:tcW w:w="1573" w:type="dxa"/>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77.72</w:t>
            </w:r>
          </w:p>
        </w:tc>
      </w:tr>
      <w:tr w:rsidR="003C728D" w:rsidRPr="00E21F0C" w:rsidTr="00AE0597">
        <w:trPr>
          <w:trHeight w:val="370"/>
          <w:jc w:val="center"/>
        </w:trPr>
        <w:tc>
          <w:tcPr>
            <w:tcW w:w="2588" w:type="dxa"/>
            <w:tcBorders>
              <w:bottom w:val="single" w:sz="4" w:space="0" w:color="auto"/>
            </w:tcBorders>
          </w:tcPr>
          <w:p w:rsidR="003C728D" w:rsidRPr="00E21F0C" w:rsidRDefault="003C728D" w:rsidP="003C728D">
            <w:pPr>
              <w:jc w:val="right"/>
              <w:rPr>
                <w:sz w:val="22"/>
                <w:szCs w:val="22"/>
              </w:rPr>
            </w:pPr>
            <w:r w:rsidRPr="00E21F0C">
              <w:rPr>
                <w:sz w:val="22"/>
                <w:szCs w:val="22"/>
              </w:rPr>
              <w:t>Premium 2 (empty over 10 years)</w:t>
            </w:r>
            <w:r w:rsidRPr="00E21F0C">
              <w:rPr>
                <w:sz w:val="22"/>
                <w:szCs w:val="22"/>
              </w:rPr>
              <w:tab/>
            </w:r>
          </w:p>
        </w:tc>
        <w:tc>
          <w:tcPr>
            <w:tcW w:w="1407"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9</w:t>
            </w:r>
          </w:p>
        </w:tc>
        <w:tc>
          <w:tcPr>
            <w:tcW w:w="1570" w:type="dxa"/>
            <w:shd w:val="clear" w:color="auto" w:fill="auto"/>
            <w:vAlign w:val="center"/>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300</w:t>
            </w:r>
          </w:p>
        </w:tc>
        <w:tc>
          <w:tcPr>
            <w:tcW w:w="1382" w:type="dxa"/>
            <w:vAlign w:val="center"/>
          </w:tcPr>
          <w:p w:rsidR="003C728D" w:rsidRPr="00E21F0C" w:rsidRDefault="003C728D" w:rsidP="003C728D">
            <w:pPr>
              <w:spacing w:after="0"/>
              <w:jc w:val="right"/>
              <w:rPr>
                <w:rFonts w:cs="Arial"/>
                <w:color w:val="auto"/>
                <w:sz w:val="22"/>
                <w:szCs w:val="22"/>
                <w:lang w:eastAsia="en-US"/>
              </w:rPr>
            </w:pPr>
            <w:r w:rsidRPr="00E21F0C">
              <w:t>75,327</w:t>
            </w:r>
          </w:p>
        </w:tc>
        <w:tc>
          <w:tcPr>
            <w:tcW w:w="1573" w:type="dxa"/>
          </w:tcPr>
          <w:p w:rsidR="003C728D" w:rsidRPr="00E21F0C" w:rsidRDefault="003C728D" w:rsidP="003C728D">
            <w:pPr>
              <w:spacing w:after="0"/>
              <w:jc w:val="right"/>
              <w:rPr>
                <w:rFonts w:cs="Arial"/>
                <w:color w:val="auto"/>
                <w:sz w:val="22"/>
                <w:szCs w:val="22"/>
                <w:lang w:eastAsia="en-US"/>
              </w:rPr>
            </w:pPr>
            <w:r w:rsidRPr="00E21F0C">
              <w:rPr>
                <w:rFonts w:cs="Arial"/>
                <w:color w:val="auto"/>
                <w:sz w:val="22"/>
                <w:szCs w:val="22"/>
                <w:lang w:eastAsia="en-US"/>
              </w:rPr>
              <w:t>98.50</w:t>
            </w:r>
          </w:p>
        </w:tc>
      </w:tr>
      <w:tr w:rsidR="003C728D" w:rsidRPr="00E21F0C" w:rsidTr="00AE0597">
        <w:trPr>
          <w:trHeight w:val="370"/>
          <w:jc w:val="center"/>
        </w:trPr>
        <w:tc>
          <w:tcPr>
            <w:tcW w:w="2588" w:type="dxa"/>
            <w:shd w:val="clear" w:color="auto" w:fill="auto"/>
            <w:vAlign w:val="center"/>
          </w:tcPr>
          <w:p w:rsidR="003C728D" w:rsidRPr="00E21F0C" w:rsidRDefault="003C728D" w:rsidP="003C728D">
            <w:pPr>
              <w:spacing w:after="0"/>
              <w:jc w:val="right"/>
              <w:rPr>
                <w:rFonts w:cs="Arial"/>
                <w:b/>
                <w:color w:val="auto"/>
                <w:sz w:val="22"/>
                <w:szCs w:val="22"/>
                <w:lang w:eastAsia="en-US"/>
              </w:rPr>
            </w:pPr>
            <w:r w:rsidRPr="00E21F0C">
              <w:rPr>
                <w:rFonts w:cs="Arial"/>
                <w:b/>
                <w:color w:val="auto"/>
                <w:sz w:val="22"/>
                <w:szCs w:val="22"/>
                <w:lang w:eastAsia="en-US"/>
              </w:rPr>
              <w:t>Totals</w:t>
            </w:r>
          </w:p>
        </w:tc>
        <w:tc>
          <w:tcPr>
            <w:tcW w:w="1407" w:type="dxa"/>
            <w:shd w:val="clear" w:color="auto" w:fill="auto"/>
            <w:vAlign w:val="center"/>
          </w:tcPr>
          <w:p w:rsidR="003C728D" w:rsidRPr="00E21F0C" w:rsidRDefault="003C728D" w:rsidP="003C728D">
            <w:pPr>
              <w:spacing w:after="0"/>
              <w:jc w:val="right"/>
              <w:rPr>
                <w:rFonts w:cs="Arial"/>
                <w:b/>
                <w:color w:val="auto"/>
                <w:sz w:val="22"/>
                <w:szCs w:val="22"/>
                <w:lang w:eastAsia="en-US"/>
              </w:rPr>
            </w:pPr>
            <w:r w:rsidRPr="00E21F0C">
              <w:rPr>
                <w:rFonts w:cs="Arial"/>
                <w:b/>
                <w:color w:val="auto"/>
                <w:sz w:val="22"/>
                <w:szCs w:val="22"/>
                <w:lang w:eastAsia="en-US"/>
              </w:rPr>
              <w:t>125</w:t>
            </w:r>
          </w:p>
        </w:tc>
        <w:tc>
          <w:tcPr>
            <w:tcW w:w="1570" w:type="dxa"/>
            <w:shd w:val="clear" w:color="auto" w:fill="auto"/>
            <w:vAlign w:val="center"/>
          </w:tcPr>
          <w:p w:rsidR="003C728D" w:rsidRPr="00E21F0C" w:rsidRDefault="003C728D" w:rsidP="003C728D">
            <w:pPr>
              <w:spacing w:after="0"/>
              <w:jc w:val="right"/>
              <w:rPr>
                <w:rFonts w:cs="Arial"/>
                <w:b/>
                <w:color w:val="auto"/>
                <w:sz w:val="22"/>
                <w:szCs w:val="22"/>
                <w:lang w:eastAsia="en-US"/>
              </w:rPr>
            </w:pPr>
          </w:p>
        </w:tc>
        <w:tc>
          <w:tcPr>
            <w:tcW w:w="1382" w:type="dxa"/>
          </w:tcPr>
          <w:p w:rsidR="003C728D" w:rsidRPr="00E21F0C" w:rsidRDefault="003C728D" w:rsidP="003C728D">
            <w:pPr>
              <w:spacing w:after="0"/>
              <w:jc w:val="right"/>
              <w:rPr>
                <w:rFonts w:cs="Arial"/>
                <w:b/>
                <w:color w:val="auto"/>
                <w:sz w:val="22"/>
                <w:szCs w:val="22"/>
                <w:lang w:eastAsia="en-US"/>
              </w:rPr>
            </w:pPr>
            <w:r w:rsidRPr="00E21F0C">
              <w:rPr>
                <w:b/>
                <w:bCs/>
              </w:rPr>
              <w:t>528,03</w:t>
            </w:r>
            <w:r>
              <w:rPr>
                <w:b/>
                <w:bCs/>
              </w:rPr>
              <w:t>4</w:t>
            </w:r>
          </w:p>
        </w:tc>
        <w:tc>
          <w:tcPr>
            <w:tcW w:w="1573" w:type="dxa"/>
          </w:tcPr>
          <w:p w:rsidR="003C728D" w:rsidRPr="00E21F0C" w:rsidRDefault="003C728D" w:rsidP="003C728D">
            <w:pPr>
              <w:spacing w:after="0"/>
              <w:jc w:val="right"/>
              <w:rPr>
                <w:rFonts w:cs="Arial"/>
                <w:b/>
                <w:color w:val="auto"/>
                <w:sz w:val="22"/>
                <w:szCs w:val="22"/>
                <w:lang w:eastAsia="en-US"/>
              </w:rPr>
            </w:pPr>
          </w:p>
        </w:tc>
      </w:tr>
    </w:tbl>
    <w:p w:rsidR="003C728D" w:rsidRPr="00E21F0C" w:rsidRDefault="003C728D" w:rsidP="003C728D">
      <w:pPr>
        <w:spacing w:after="0"/>
        <w:rPr>
          <w:rFonts w:cs="Arial"/>
          <w:color w:val="auto"/>
          <w:lang w:eastAsia="en-US"/>
        </w:rPr>
      </w:pPr>
    </w:p>
    <w:p w:rsidR="003C728D" w:rsidRPr="00E21F0C" w:rsidRDefault="003C728D" w:rsidP="003C728D">
      <w:pPr>
        <w:spacing w:after="0"/>
        <w:rPr>
          <w:rFonts w:cs="Arial"/>
          <w:color w:val="auto"/>
          <w:lang w:eastAsia="en-US"/>
        </w:rPr>
      </w:pPr>
    </w:p>
    <w:p w:rsidR="003C728D" w:rsidRPr="00EF44C1" w:rsidRDefault="003C728D" w:rsidP="00AE0597">
      <w:pPr>
        <w:pStyle w:val="ListParagraph"/>
        <w:numPr>
          <w:ilvl w:val="0"/>
          <w:numId w:val="37"/>
        </w:numPr>
        <w:spacing w:after="0"/>
        <w:ind w:left="426" w:hanging="426"/>
        <w:jc w:val="both"/>
        <w:rPr>
          <w:rFonts w:cs="Arial"/>
          <w:color w:val="auto"/>
          <w:lang w:eastAsia="en-US"/>
        </w:rPr>
      </w:pPr>
      <w:r>
        <w:rPr>
          <w:rFonts w:cs="Arial"/>
          <w:color w:val="auto"/>
          <w:lang w:eastAsia="en-US"/>
        </w:rPr>
        <w:t>T</w:t>
      </w:r>
      <w:r w:rsidRPr="00EF44C1">
        <w:rPr>
          <w:rFonts w:cs="Arial"/>
          <w:color w:val="auto"/>
          <w:lang w:eastAsia="en-US"/>
        </w:rPr>
        <w:t>he additional annual inc</w:t>
      </w:r>
      <w:r>
        <w:rPr>
          <w:rFonts w:cs="Arial"/>
          <w:color w:val="auto"/>
          <w:lang w:eastAsia="en-US"/>
        </w:rPr>
        <w:t>ome collected from raising the Long Term Empty Premium (“the Premium”)</w:t>
      </w:r>
      <w:r w:rsidRPr="00EF44C1">
        <w:rPr>
          <w:rFonts w:cs="Arial"/>
          <w:color w:val="auto"/>
          <w:lang w:eastAsia="en-US"/>
        </w:rPr>
        <w:t xml:space="preserve"> is approximately £528,034 per annum. Collection rates of this premiu</w:t>
      </w:r>
      <w:r>
        <w:rPr>
          <w:rFonts w:cs="Arial"/>
          <w:color w:val="auto"/>
          <w:lang w:eastAsia="en-US"/>
        </w:rPr>
        <w:t>m together with the associated Council T</w:t>
      </w:r>
      <w:r w:rsidRPr="00EF44C1">
        <w:rPr>
          <w:rFonts w:cs="Arial"/>
          <w:color w:val="auto"/>
          <w:lang w:eastAsia="en-US"/>
        </w:rPr>
        <w:t>ax charge are shown above. The confidential Appendix 3 provides details of properties which have been empty for more than 10 years.</w:t>
      </w:r>
      <w:r>
        <w:rPr>
          <w:rFonts w:cs="Arial"/>
          <w:color w:val="auto"/>
          <w:lang w:eastAsia="en-US"/>
        </w:rPr>
        <w:t xml:space="preserve"> Advertising the property addresses and details of action being taken could lead to increased criminal activity.</w:t>
      </w:r>
    </w:p>
    <w:p w:rsidR="003C728D" w:rsidRPr="00F4435F" w:rsidRDefault="003C728D" w:rsidP="003C728D">
      <w:pPr>
        <w:spacing w:after="0"/>
        <w:ind w:left="426"/>
        <w:rPr>
          <w:rFonts w:cs="Arial"/>
          <w:color w:val="auto"/>
          <w:lang w:eastAsia="en-US"/>
        </w:rPr>
      </w:pPr>
    </w:p>
    <w:p w:rsidR="003C728D" w:rsidRPr="00F4435F" w:rsidRDefault="003C728D" w:rsidP="00AE0597">
      <w:pPr>
        <w:pStyle w:val="ListParagraph"/>
        <w:numPr>
          <w:ilvl w:val="0"/>
          <w:numId w:val="37"/>
        </w:numPr>
        <w:spacing w:after="0"/>
        <w:ind w:left="426" w:hanging="426"/>
        <w:jc w:val="both"/>
        <w:rPr>
          <w:rFonts w:cs="Arial"/>
          <w:color w:val="auto"/>
          <w:lang w:eastAsia="en-US"/>
        </w:rPr>
      </w:pPr>
      <w:r w:rsidRPr="00F4435F">
        <w:rPr>
          <w:rFonts w:cs="Arial"/>
          <w:color w:val="auto"/>
          <w:lang w:eastAsia="en-US"/>
        </w:rPr>
        <w:t xml:space="preserve">The government is looking at allowing </w:t>
      </w:r>
      <w:r>
        <w:rPr>
          <w:rFonts w:cs="Arial"/>
          <w:color w:val="auto"/>
          <w:lang w:eastAsia="en-US"/>
        </w:rPr>
        <w:t>c</w:t>
      </w:r>
      <w:r w:rsidRPr="00F4435F">
        <w:rPr>
          <w:rFonts w:cs="Arial"/>
          <w:color w:val="auto"/>
          <w:lang w:eastAsia="en-US"/>
        </w:rPr>
        <w:t xml:space="preserve">ouncils the discretion to increase the Premium after </w:t>
      </w:r>
      <w:r>
        <w:rPr>
          <w:rFonts w:cs="Arial"/>
          <w:color w:val="auto"/>
          <w:lang w:eastAsia="en-US"/>
        </w:rPr>
        <w:t>a property</w:t>
      </w:r>
      <w:r w:rsidRPr="00F4435F">
        <w:rPr>
          <w:rFonts w:cs="Arial"/>
          <w:color w:val="auto"/>
          <w:lang w:eastAsia="en-US"/>
        </w:rPr>
        <w:t xml:space="preserve"> has been empt</w:t>
      </w:r>
      <w:r>
        <w:rPr>
          <w:rFonts w:cs="Arial"/>
          <w:color w:val="auto"/>
          <w:lang w:eastAsia="en-US"/>
        </w:rPr>
        <w:t>y for</w:t>
      </w:r>
      <w:r w:rsidRPr="00F4435F">
        <w:rPr>
          <w:rFonts w:cs="Arial"/>
          <w:color w:val="auto"/>
          <w:lang w:eastAsia="en-US"/>
        </w:rPr>
        <w:t xml:space="preserve"> 1 year rather than 2 years. As this may require primary legislation to change, it is unlikely to </w:t>
      </w:r>
      <w:r>
        <w:rPr>
          <w:rFonts w:cs="Arial"/>
          <w:color w:val="auto"/>
          <w:lang w:eastAsia="en-US"/>
        </w:rPr>
        <w:t>come into effect until 2024.</w:t>
      </w:r>
    </w:p>
    <w:p w:rsidR="003C728D" w:rsidRDefault="003C728D" w:rsidP="003C728D">
      <w:pPr>
        <w:spacing w:after="0"/>
        <w:ind w:left="786"/>
        <w:rPr>
          <w:rFonts w:cs="Arial"/>
          <w:b/>
          <w:color w:val="auto"/>
          <w:u w:val="single"/>
          <w:lang w:eastAsia="en-US"/>
        </w:rPr>
      </w:pPr>
    </w:p>
    <w:p w:rsidR="003C728D" w:rsidRPr="00E73CBC" w:rsidRDefault="003C728D" w:rsidP="003C728D">
      <w:pPr>
        <w:spacing w:after="0"/>
        <w:ind w:left="786" w:hanging="786"/>
        <w:rPr>
          <w:rFonts w:cs="Arial"/>
          <w:b/>
          <w:color w:val="auto"/>
          <w:lang w:eastAsia="en-US"/>
        </w:rPr>
      </w:pPr>
      <w:r w:rsidRPr="00E73CBC">
        <w:rPr>
          <w:rFonts w:cs="Arial"/>
          <w:b/>
          <w:color w:val="auto"/>
          <w:lang w:eastAsia="en-US"/>
        </w:rPr>
        <w:t>Action to ensure re-occupation of empty properties</w:t>
      </w:r>
    </w:p>
    <w:p w:rsidR="003C728D" w:rsidRPr="00AA1A07" w:rsidRDefault="003C728D" w:rsidP="003C728D">
      <w:pPr>
        <w:spacing w:after="0"/>
        <w:ind w:left="786"/>
        <w:rPr>
          <w:rFonts w:cs="Arial"/>
          <w:b/>
          <w:color w:val="auto"/>
          <w:u w:val="single"/>
          <w:lang w:eastAsia="en-US"/>
        </w:rPr>
      </w:pPr>
    </w:p>
    <w:p w:rsidR="003C728D" w:rsidRPr="0092181C" w:rsidRDefault="003C728D" w:rsidP="00AE0597">
      <w:pPr>
        <w:pStyle w:val="ListParagraph"/>
        <w:numPr>
          <w:ilvl w:val="0"/>
          <w:numId w:val="37"/>
        </w:numPr>
        <w:spacing w:after="0"/>
        <w:ind w:left="426" w:hanging="426"/>
        <w:jc w:val="both"/>
        <w:rPr>
          <w:rFonts w:cs="Arial"/>
          <w:color w:val="auto"/>
          <w:lang w:eastAsia="en-US"/>
        </w:rPr>
      </w:pPr>
      <w:r w:rsidRPr="0092181C">
        <w:rPr>
          <w:rFonts w:cs="Arial"/>
          <w:color w:val="auto"/>
          <w:lang w:eastAsia="en-US"/>
        </w:rPr>
        <w:t>All Council Tax properties that are empty for more than 6 months are referred to the Council’s Empty Homes Officer for action.</w:t>
      </w:r>
    </w:p>
    <w:p w:rsidR="003C728D" w:rsidRPr="00CA3715" w:rsidRDefault="003C728D" w:rsidP="00AE0597">
      <w:pPr>
        <w:spacing w:after="0"/>
        <w:ind w:left="709" w:hanging="283"/>
        <w:jc w:val="both"/>
        <w:rPr>
          <w:rFonts w:cs="Arial"/>
          <w:color w:val="auto"/>
          <w:lang w:eastAsia="en-US"/>
        </w:rPr>
      </w:pPr>
    </w:p>
    <w:p w:rsidR="003C728D" w:rsidRPr="00D416CE" w:rsidRDefault="003C728D" w:rsidP="00AE0597">
      <w:pPr>
        <w:pStyle w:val="ListParagraph"/>
        <w:numPr>
          <w:ilvl w:val="0"/>
          <w:numId w:val="37"/>
        </w:numPr>
        <w:spacing w:after="0"/>
        <w:ind w:left="426" w:hanging="426"/>
        <w:jc w:val="both"/>
        <w:rPr>
          <w:rFonts w:cs="Arial"/>
          <w:color w:val="auto"/>
          <w:lang w:eastAsia="en-US"/>
        </w:rPr>
      </w:pPr>
      <w:r w:rsidRPr="00D416CE">
        <w:rPr>
          <w:rFonts w:cs="Arial"/>
          <w:color w:val="auto"/>
          <w:lang w:eastAsia="en-US"/>
        </w:rPr>
        <w:lastRenderedPageBreak/>
        <w:t>The Empty Homes Officer sends a mailshot twice yearly to owners of empty properties encouraging contact and bringing the properties back into use. See Appendix 4 for the template letter and questionnaire that is used.</w:t>
      </w:r>
    </w:p>
    <w:p w:rsidR="003C728D" w:rsidRPr="00D416CE" w:rsidRDefault="003C728D" w:rsidP="00AE0597">
      <w:pPr>
        <w:spacing w:after="0"/>
        <w:ind w:left="709" w:hanging="283"/>
        <w:jc w:val="both"/>
        <w:rPr>
          <w:rFonts w:cs="Arial"/>
          <w:color w:val="auto"/>
          <w:lang w:eastAsia="en-US"/>
        </w:rPr>
      </w:pPr>
    </w:p>
    <w:p w:rsidR="003C728D" w:rsidRPr="00D416CE" w:rsidRDefault="003C728D" w:rsidP="00AE0597">
      <w:pPr>
        <w:pStyle w:val="ListParagraph"/>
        <w:numPr>
          <w:ilvl w:val="0"/>
          <w:numId w:val="37"/>
        </w:numPr>
        <w:spacing w:after="0"/>
        <w:ind w:left="426" w:hanging="426"/>
        <w:jc w:val="both"/>
        <w:rPr>
          <w:rFonts w:cs="Arial"/>
          <w:color w:val="auto"/>
          <w:lang w:eastAsia="en-US"/>
        </w:rPr>
      </w:pPr>
      <w:r w:rsidRPr="00D416CE">
        <w:rPr>
          <w:color w:val="auto"/>
        </w:rPr>
        <w:t>The most recent mailshot was sent to 232 owners in relation to properties that have been empty for between 6 months to 2 years. This also included a letter regarding the potential to let the empty properties to refugees. One response has been received in relation to the letter. The last mailshot in relation to properties paying a Premium Council Tax was sent to 78 owners in June 2021.</w:t>
      </w:r>
    </w:p>
    <w:p w:rsidR="003C728D" w:rsidRPr="00D416CE" w:rsidRDefault="003C728D" w:rsidP="00AE0597">
      <w:pPr>
        <w:pStyle w:val="ListParagraph"/>
        <w:numPr>
          <w:ilvl w:val="0"/>
          <w:numId w:val="0"/>
        </w:numPr>
        <w:spacing w:after="0"/>
        <w:ind w:left="426"/>
        <w:rPr>
          <w:rFonts w:cs="Arial"/>
          <w:color w:val="auto"/>
          <w:lang w:eastAsia="en-US"/>
        </w:rPr>
      </w:pPr>
    </w:p>
    <w:p w:rsidR="003C728D" w:rsidRPr="00E73CBC" w:rsidRDefault="003C728D" w:rsidP="003C728D">
      <w:pPr>
        <w:spacing w:after="0"/>
        <w:rPr>
          <w:rFonts w:cs="Arial"/>
          <w:b/>
          <w:color w:val="auto"/>
          <w:lang w:eastAsia="en-US"/>
        </w:rPr>
      </w:pPr>
      <w:r w:rsidRPr="00E73CBC">
        <w:rPr>
          <w:rFonts w:cs="Arial"/>
          <w:b/>
          <w:color w:val="auto"/>
          <w:lang w:eastAsia="en-US"/>
        </w:rPr>
        <w:t xml:space="preserve">What </w:t>
      </w:r>
      <w:r>
        <w:rPr>
          <w:rFonts w:cs="Arial"/>
          <w:b/>
          <w:color w:val="auto"/>
          <w:lang w:eastAsia="en-US"/>
        </w:rPr>
        <w:t xml:space="preserve">the Council </w:t>
      </w:r>
      <w:r w:rsidRPr="00E73CBC">
        <w:rPr>
          <w:rFonts w:cs="Arial"/>
          <w:b/>
          <w:color w:val="auto"/>
          <w:lang w:eastAsia="en-US"/>
        </w:rPr>
        <w:t>do</w:t>
      </w:r>
      <w:r>
        <w:rPr>
          <w:rFonts w:cs="Arial"/>
          <w:b/>
          <w:color w:val="auto"/>
          <w:lang w:eastAsia="en-US"/>
        </w:rPr>
        <w:t>es</w:t>
      </w:r>
      <w:r w:rsidRPr="00E73CBC">
        <w:rPr>
          <w:rFonts w:cs="Arial"/>
          <w:b/>
          <w:color w:val="auto"/>
          <w:lang w:eastAsia="en-US"/>
        </w:rPr>
        <w:t xml:space="preserve"> and what can </w:t>
      </w:r>
      <w:r>
        <w:rPr>
          <w:rFonts w:cs="Arial"/>
          <w:b/>
          <w:color w:val="auto"/>
          <w:lang w:eastAsia="en-US"/>
        </w:rPr>
        <w:t xml:space="preserve">be </w:t>
      </w:r>
      <w:r w:rsidRPr="00E73CBC">
        <w:rPr>
          <w:rFonts w:cs="Arial"/>
          <w:b/>
          <w:color w:val="auto"/>
          <w:lang w:eastAsia="en-US"/>
        </w:rPr>
        <w:t>do</w:t>
      </w:r>
      <w:r>
        <w:rPr>
          <w:rFonts w:cs="Arial"/>
          <w:b/>
          <w:color w:val="auto"/>
          <w:lang w:eastAsia="en-US"/>
        </w:rPr>
        <w:t>ne</w:t>
      </w:r>
      <w:r w:rsidRPr="00E73CBC">
        <w:rPr>
          <w:rFonts w:cs="Arial"/>
          <w:b/>
          <w:color w:val="auto"/>
          <w:lang w:eastAsia="en-US"/>
        </w:rPr>
        <w:t xml:space="preserve"> to encourage property usage</w:t>
      </w:r>
    </w:p>
    <w:p w:rsidR="003C728D" w:rsidRPr="0024267E" w:rsidRDefault="003C728D" w:rsidP="00AE0597">
      <w:pPr>
        <w:spacing w:after="0"/>
        <w:rPr>
          <w:b/>
        </w:rPr>
      </w:pPr>
    </w:p>
    <w:p w:rsidR="003C728D" w:rsidRDefault="003C728D" w:rsidP="00AE0597">
      <w:pPr>
        <w:pStyle w:val="ListParagraph"/>
        <w:numPr>
          <w:ilvl w:val="0"/>
          <w:numId w:val="37"/>
        </w:numPr>
        <w:tabs>
          <w:tab w:val="clear" w:pos="426"/>
          <w:tab w:val="left" w:pos="567"/>
        </w:tabs>
        <w:spacing w:after="0"/>
        <w:ind w:left="426" w:hanging="426"/>
        <w:jc w:val="both"/>
      </w:pPr>
      <w:r>
        <w:t xml:space="preserve">Appendix 2 to the report provides a flow chart illustrating the processes undertaken by the Council to bring empty properties back into use. All empty property owners are written to at least twice a year. A sample of the letter is shown in Appendix 4. Regular contact via site visits, emails and telephone conversations with owners are made in respect of those properties that have been empty for over 2 years. </w:t>
      </w:r>
    </w:p>
    <w:p w:rsidR="00AE0597" w:rsidRDefault="00AE0597" w:rsidP="00AE0597">
      <w:pPr>
        <w:pStyle w:val="ListParagraph"/>
        <w:numPr>
          <w:ilvl w:val="0"/>
          <w:numId w:val="0"/>
        </w:numPr>
        <w:tabs>
          <w:tab w:val="clear" w:pos="426"/>
          <w:tab w:val="left" w:pos="567"/>
        </w:tabs>
        <w:spacing w:after="0"/>
        <w:ind w:left="426"/>
        <w:jc w:val="both"/>
      </w:pPr>
    </w:p>
    <w:p w:rsidR="003C728D" w:rsidRDefault="003C728D" w:rsidP="00AE0597">
      <w:pPr>
        <w:pStyle w:val="ListParagraph"/>
        <w:numPr>
          <w:ilvl w:val="0"/>
          <w:numId w:val="37"/>
        </w:numPr>
        <w:tabs>
          <w:tab w:val="clear" w:pos="426"/>
          <w:tab w:val="left" w:pos="567"/>
        </w:tabs>
        <w:spacing w:after="0"/>
        <w:ind w:left="426" w:hanging="426"/>
        <w:jc w:val="both"/>
      </w:pPr>
      <w:r>
        <w:t>In conjunction with the Council’s Investigations Team and the Valuation Office Agency the Council conducts a review exercise annually to attempt to bring empty homes into use, checking on those that are currently recorded as empty and ensuring new properties are quickly banded for Council Tax purposes. This feeds into the process for calculating the amount of New Burdens funding that the Council receives each year. For the 2022/23 financial year the Council’s provisional allocation is £471k.</w:t>
      </w:r>
    </w:p>
    <w:p w:rsidR="00AE0597" w:rsidRDefault="00AE0597" w:rsidP="00AE0597">
      <w:pPr>
        <w:pStyle w:val="ListParagraph"/>
        <w:numPr>
          <w:ilvl w:val="0"/>
          <w:numId w:val="0"/>
        </w:numPr>
        <w:spacing w:after="0"/>
        <w:ind w:left="426"/>
      </w:pPr>
    </w:p>
    <w:p w:rsidR="003C728D" w:rsidRDefault="003C728D" w:rsidP="00AE0597">
      <w:pPr>
        <w:pStyle w:val="ListParagraph"/>
        <w:numPr>
          <w:ilvl w:val="0"/>
          <w:numId w:val="37"/>
        </w:numPr>
        <w:ind w:left="426" w:hanging="426"/>
        <w:jc w:val="both"/>
      </w:pPr>
      <w:r>
        <w:t>The Council has, at its discretion, the option to take possession of empty dwellings and bring them back into use by either:</w:t>
      </w:r>
    </w:p>
    <w:p w:rsidR="003C728D" w:rsidRDefault="003C728D" w:rsidP="003C728D">
      <w:pPr>
        <w:pStyle w:val="ListParagraph"/>
        <w:numPr>
          <w:ilvl w:val="0"/>
          <w:numId w:val="36"/>
        </w:numPr>
      </w:pPr>
      <w:r>
        <w:t xml:space="preserve">Empty Dwelling Management Order (EDMO) for a period of up to seven years; or </w:t>
      </w:r>
    </w:p>
    <w:p w:rsidR="003C728D" w:rsidRDefault="003C728D" w:rsidP="00AE0597">
      <w:pPr>
        <w:pStyle w:val="ListParagraph"/>
        <w:numPr>
          <w:ilvl w:val="0"/>
          <w:numId w:val="36"/>
        </w:numPr>
        <w:spacing w:after="0"/>
      </w:pPr>
      <w:r>
        <w:t>Ownership through Compulsory Purchase Orders (CPO).</w:t>
      </w:r>
    </w:p>
    <w:p w:rsidR="00AE0597" w:rsidRDefault="00AE0597" w:rsidP="00DC78B2">
      <w:pPr>
        <w:pStyle w:val="ListParagraph"/>
        <w:numPr>
          <w:ilvl w:val="0"/>
          <w:numId w:val="0"/>
        </w:numPr>
        <w:spacing w:after="0"/>
        <w:ind w:left="1070"/>
        <w:jc w:val="both"/>
      </w:pPr>
    </w:p>
    <w:p w:rsidR="003C728D" w:rsidRDefault="003C728D" w:rsidP="00DC78B2">
      <w:pPr>
        <w:pStyle w:val="ListParagraph"/>
        <w:numPr>
          <w:ilvl w:val="0"/>
          <w:numId w:val="37"/>
        </w:numPr>
        <w:spacing w:after="0"/>
        <w:ind w:left="426" w:hanging="426"/>
        <w:jc w:val="both"/>
      </w:pPr>
      <w:r>
        <w:t>Previously the council has applied for three EDMOs, one was withdrawn prior to the hearing and 2 were confirmed but later withdrawn due to one owner selling and the other renting their property out.</w:t>
      </w:r>
    </w:p>
    <w:p w:rsidR="00AE0597" w:rsidRDefault="00AE0597" w:rsidP="00DC78B2">
      <w:pPr>
        <w:pStyle w:val="ListParagraph"/>
        <w:numPr>
          <w:ilvl w:val="0"/>
          <w:numId w:val="0"/>
        </w:numPr>
        <w:spacing w:after="0"/>
        <w:ind w:left="426"/>
        <w:jc w:val="both"/>
      </w:pPr>
    </w:p>
    <w:p w:rsidR="003C728D" w:rsidRDefault="003C728D" w:rsidP="00DC78B2">
      <w:pPr>
        <w:pStyle w:val="ListParagraph"/>
        <w:numPr>
          <w:ilvl w:val="0"/>
          <w:numId w:val="37"/>
        </w:numPr>
        <w:spacing w:after="0"/>
        <w:ind w:left="426" w:hanging="426"/>
        <w:jc w:val="both"/>
      </w:pPr>
      <w:r>
        <w:t xml:space="preserve">In 2017 the council implemented a CPO following the order being granted. The property was refurbished and adapted for a family from the Council’s housing register and is now occupied. The property had been unoccupied for over 30 years during which no Council Tax had been paid. The property had been granted a Council Tax Exemption Class F (owner deceased and no probate applied for or </w:t>
      </w:r>
      <w:r w:rsidRPr="00726F50">
        <w:t>granted). EDMOs cannot be used for properties in this situation.</w:t>
      </w:r>
    </w:p>
    <w:p w:rsidR="00AE0597" w:rsidRPr="00726F50" w:rsidRDefault="00AE0597" w:rsidP="00DC78B2">
      <w:pPr>
        <w:pStyle w:val="ListParagraph"/>
        <w:numPr>
          <w:ilvl w:val="0"/>
          <w:numId w:val="0"/>
        </w:numPr>
        <w:spacing w:after="0"/>
        <w:ind w:left="426"/>
        <w:jc w:val="both"/>
      </w:pPr>
    </w:p>
    <w:p w:rsidR="003C728D" w:rsidRDefault="003C728D" w:rsidP="00DC78B2">
      <w:pPr>
        <w:pStyle w:val="ListParagraph"/>
        <w:numPr>
          <w:ilvl w:val="0"/>
          <w:numId w:val="37"/>
        </w:numPr>
        <w:spacing w:after="0"/>
        <w:ind w:left="426" w:hanging="426"/>
        <w:jc w:val="both"/>
      </w:pPr>
      <w:r w:rsidRPr="00726F50">
        <w:t>Both EDMO</w:t>
      </w:r>
      <w:r>
        <w:t>s</w:t>
      </w:r>
      <w:r w:rsidRPr="00726F50">
        <w:t xml:space="preserve"> and CPO</w:t>
      </w:r>
      <w:r>
        <w:t>s</w:t>
      </w:r>
      <w:r w:rsidRPr="00726F50">
        <w:t xml:space="preserve"> require financial and officer commitment from several internal services. Obtaining a CPO costs the Council the value of the property (c£300,000), advertisements in local press (£10,000) and legal support, internal and external</w:t>
      </w:r>
      <w:r>
        <w:t>, which can be</w:t>
      </w:r>
      <w:r w:rsidRPr="00726F50">
        <w:t xml:space="preserve"> anywhere between £5000 and £20000 dependant on </w:t>
      </w:r>
      <w:r>
        <w:t xml:space="preserve">whether the application is dealt with by </w:t>
      </w:r>
      <w:r w:rsidRPr="00726F50">
        <w:t>written representation</w:t>
      </w:r>
      <w:r>
        <w:t>s</w:t>
      </w:r>
      <w:r w:rsidRPr="00726F50">
        <w:t xml:space="preserve"> only or a public inquiry.</w:t>
      </w:r>
    </w:p>
    <w:p w:rsidR="00DC78B2" w:rsidRPr="00726F50" w:rsidRDefault="00DC78B2" w:rsidP="00DC78B2">
      <w:pPr>
        <w:pStyle w:val="ListParagraph"/>
        <w:numPr>
          <w:ilvl w:val="0"/>
          <w:numId w:val="0"/>
        </w:numPr>
        <w:spacing w:after="0"/>
        <w:ind w:left="426"/>
        <w:jc w:val="both"/>
      </w:pPr>
    </w:p>
    <w:p w:rsidR="003C728D" w:rsidRDefault="003C728D" w:rsidP="00DC78B2">
      <w:pPr>
        <w:pStyle w:val="ListParagraph"/>
        <w:numPr>
          <w:ilvl w:val="0"/>
          <w:numId w:val="37"/>
        </w:numPr>
        <w:spacing w:after="0"/>
        <w:ind w:left="426" w:hanging="426"/>
        <w:jc w:val="both"/>
      </w:pPr>
      <w:r>
        <w:lastRenderedPageBreak/>
        <w:t>The latest property identified for a potential EDMO wo</w:t>
      </w:r>
      <w:r w:rsidR="005C170B">
        <w:t>uld require c£30,000 to bring</w:t>
      </w:r>
      <w:bookmarkStart w:id="0" w:name="_GoBack"/>
      <w:bookmarkEnd w:id="0"/>
      <w:r>
        <w:t xml:space="preserve"> it up to good habitable condition. Of note is that all monies spent are recoverable through rent throughout the term of the order, including interest on refurbishment costs. Management of the property would be organised through the Council’s Tenancy Management Team and again a fee may be charged for this service, also recovered through rent. </w:t>
      </w:r>
    </w:p>
    <w:p w:rsidR="00896AC9" w:rsidRDefault="00896AC9" w:rsidP="00896AC9">
      <w:pPr>
        <w:pStyle w:val="ListParagraph"/>
        <w:numPr>
          <w:ilvl w:val="0"/>
          <w:numId w:val="0"/>
        </w:numPr>
        <w:spacing w:after="0"/>
        <w:ind w:left="426"/>
      </w:pPr>
    </w:p>
    <w:p w:rsidR="003C728D" w:rsidRDefault="003C728D" w:rsidP="00DC78B2">
      <w:pPr>
        <w:pStyle w:val="ListParagraph"/>
        <w:numPr>
          <w:ilvl w:val="0"/>
          <w:numId w:val="37"/>
        </w:numPr>
        <w:spacing w:after="0"/>
        <w:ind w:left="426" w:hanging="426"/>
        <w:jc w:val="both"/>
      </w:pPr>
      <w:r>
        <w:t>Whilst regular contact with owners to encourage them to bring their properties back into use continues, and for the majority a gentle nudge by the Council is enough to achieve this, it is less likely to be as successful in respect of the long term empty dwelli</w:t>
      </w:r>
      <w:r w:rsidRPr="00CA3715">
        <w:t>ngs. A flow chart of process adopted</w:t>
      </w:r>
      <w:r>
        <w:t xml:space="preserve"> by the council is at Appendix 2</w:t>
      </w:r>
      <w:r w:rsidR="00DC78B2">
        <w:t>.</w:t>
      </w:r>
    </w:p>
    <w:p w:rsidR="00DC78B2" w:rsidRPr="0092181C" w:rsidRDefault="00DC78B2" w:rsidP="00DC78B2">
      <w:pPr>
        <w:pStyle w:val="ListParagraph"/>
        <w:numPr>
          <w:ilvl w:val="0"/>
          <w:numId w:val="0"/>
        </w:numPr>
        <w:spacing w:after="0"/>
        <w:ind w:left="426"/>
        <w:jc w:val="both"/>
      </w:pPr>
    </w:p>
    <w:p w:rsidR="003C728D" w:rsidRDefault="003C728D" w:rsidP="00DC78B2">
      <w:pPr>
        <w:spacing w:after="0"/>
        <w:outlineLvl w:val="0"/>
        <w:rPr>
          <w:b/>
        </w:rPr>
      </w:pPr>
      <w:r w:rsidRPr="001356F1">
        <w:rPr>
          <w:b/>
        </w:rPr>
        <w:t xml:space="preserve">Other implications </w:t>
      </w:r>
    </w:p>
    <w:p w:rsidR="00DC78B2" w:rsidRPr="001356F1" w:rsidRDefault="00DC78B2" w:rsidP="00DC78B2">
      <w:pPr>
        <w:spacing w:after="0"/>
        <w:outlineLvl w:val="0"/>
        <w:rPr>
          <w:b/>
        </w:rPr>
      </w:pPr>
    </w:p>
    <w:p w:rsidR="00DC78B2" w:rsidRDefault="003C728D" w:rsidP="00DC78B2">
      <w:pPr>
        <w:pStyle w:val="ListParagraph"/>
        <w:numPr>
          <w:ilvl w:val="0"/>
          <w:numId w:val="37"/>
        </w:numPr>
        <w:spacing w:after="0"/>
        <w:ind w:left="426" w:hanging="426"/>
        <w:jc w:val="both"/>
      </w:pPr>
      <w:r w:rsidRPr="00AA43B5">
        <w:t xml:space="preserve">Health and safety </w:t>
      </w:r>
      <w:r>
        <w:t xml:space="preserve">- </w:t>
      </w:r>
      <w:r w:rsidRPr="00AA43B5">
        <w:t>Empty properties that are left unoccupied can become neglected and potentially become unsafe and require remedial works to protect their surroundings</w:t>
      </w:r>
      <w:r w:rsidR="00DC78B2">
        <w:t>.</w:t>
      </w:r>
    </w:p>
    <w:p w:rsidR="003C728D" w:rsidRPr="00AA43B5" w:rsidRDefault="003C728D" w:rsidP="00DC78B2">
      <w:pPr>
        <w:pStyle w:val="ListParagraph"/>
        <w:numPr>
          <w:ilvl w:val="0"/>
          <w:numId w:val="0"/>
        </w:numPr>
        <w:spacing w:after="0"/>
        <w:ind w:left="426"/>
        <w:jc w:val="both"/>
      </w:pPr>
      <w:r w:rsidRPr="00AA43B5">
        <w:t xml:space="preserve"> </w:t>
      </w:r>
    </w:p>
    <w:p w:rsidR="003C728D" w:rsidRDefault="003C728D" w:rsidP="00DC78B2">
      <w:pPr>
        <w:pStyle w:val="ListParagraph"/>
        <w:numPr>
          <w:ilvl w:val="0"/>
          <w:numId w:val="37"/>
        </w:numPr>
        <w:spacing w:after="0"/>
        <w:ind w:left="426" w:hanging="426"/>
        <w:jc w:val="both"/>
      </w:pPr>
      <w:r w:rsidRPr="00AA43B5">
        <w:t xml:space="preserve">Crime and disorder </w:t>
      </w:r>
      <w:r>
        <w:t xml:space="preserve">- </w:t>
      </w:r>
      <w:r w:rsidRPr="00AA43B5">
        <w:t>An empty property could attract criminal behaviour.</w:t>
      </w:r>
    </w:p>
    <w:p w:rsidR="00DC78B2" w:rsidRPr="00AA43B5" w:rsidRDefault="00DC78B2" w:rsidP="00DC78B2">
      <w:pPr>
        <w:pStyle w:val="ListParagraph"/>
        <w:numPr>
          <w:ilvl w:val="0"/>
          <w:numId w:val="0"/>
        </w:numPr>
        <w:spacing w:after="0"/>
        <w:ind w:left="426"/>
        <w:jc w:val="both"/>
      </w:pPr>
    </w:p>
    <w:p w:rsidR="003C728D" w:rsidRDefault="003C728D" w:rsidP="00DC78B2">
      <w:pPr>
        <w:pStyle w:val="ListParagraph"/>
        <w:numPr>
          <w:ilvl w:val="0"/>
          <w:numId w:val="37"/>
        </w:numPr>
        <w:spacing w:after="0"/>
        <w:ind w:left="426" w:hanging="426"/>
        <w:jc w:val="both"/>
      </w:pPr>
      <w:r w:rsidRPr="00AA43B5">
        <w:t>Environmental</w:t>
      </w:r>
      <w:r>
        <w:t xml:space="preserve"> - </w:t>
      </w:r>
      <w:r w:rsidRPr="00AA43B5">
        <w:t>A neglected property could lead to vermin in the vicinity and require action.</w:t>
      </w:r>
    </w:p>
    <w:p w:rsidR="00DC78B2" w:rsidRPr="00AA43B5" w:rsidRDefault="00DC78B2" w:rsidP="00DC78B2">
      <w:pPr>
        <w:pStyle w:val="ListParagraph"/>
        <w:numPr>
          <w:ilvl w:val="0"/>
          <w:numId w:val="0"/>
        </w:numPr>
        <w:spacing w:after="0"/>
        <w:ind w:left="426"/>
      </w:pPr>
    </w:p>
    <w:p w:rsidR="003C728D" w:rsidRDefault="003C728D" w:rsidP="00DC78B2">
      <w:pPr>
        <w:pStyle w:val="Heading1"/>
        <w:spacing w:before="0" w:after="0"/>
      </w:pPr>
      <w:r w:rsidRPr="001356F1">
        <w:t>Financial implications</w:t>
      </w:r>
    </w:p>
    <w:p w:rsidR="00DC78B2" w:rsidRPr="00DC78B2" w:rsidRDefault="00DC78B2" w:rsidP="00DC78B2">
      <w:pPr>
        <w:spacing w:after="0"/>
      </w:pPr>
    </w:p>
    <w:p w:rsidR="003C728D" w:rsidRDefault="003C728D" w:rsidP="00DC78B2">
      <w:pPr>
        <w:pStyle w:val="ListParagraph"/>
        <w:numPr>
          <w:ilvl w:val="0"/>
          <w:numId w:val="37"/>
        </w:numPr>
        <w:spacing w:after="0"/>
        <w:ind w:left="426" w:hanging="426"/>
        <w:jc w:val="both"/>
      </w:pPr>
      <w:r>
        <w:t>There are no financial implications arising directly from the report. T</w:t>
      </w:r>
      <w:r w:rsidRPr="003F60CB">
        <w:t>he Premium does not deter people from leaving a property empty. However, by applying a premium the Council does receive more income.</w:t>
      </w:r>
    </w:p>
    <w:p w:rsidR="00DC78B2" w:rsidRPr="003F60CB" w:rsidRDefault="00DC78B2" w:rsidP="00DC78B2">
      <w:pPr>
        <w:pStyle w:val="ListParagraph"/>
        <w:numPr>
          <w:ilvl w:val="0"/>
          <w:numId w:val="0"/>
        </w:numPr>
        <w:spacing w:after="0"/>
        <w:ind w:left="426"/>
        <w:jc w:val="both"/>
      </w:pPr>
    </w:p>
    <w:p w:rsidR="003C728D" w:rsidRDefault="003C728D" w:rsidP="00896AC9">
      <w:pPr>
        <w:pStyle w:val="Heading1"/>
        <w:spacing w:before="0" w:after="0"/>
        <w:jc w:val="both"/>
      </w:pPr>
      <w:r w:rsidRPr="001356F1">
        <w:t>Legal issues</w:t>
      </w:r>
    </w:p>
    <w:p w:rsidR="00896AC9" w:rsidRPr="00896AC9" w:rsidRDefault="00896AC9" w:rsidP="00896AC9"/>
    <w:p w:rsidR="003C728D" w:rsidRPr="001356F1" w:rsidRDefault="003C728D" w:rsidP="00DC78B2">
      <w:pPr>
        <w:pStyle w:val="ListParagraph"/>
        <w:numPr>
          <w:ilvl w:val="0"/>
          <w:numId w:val="37"/>
        </w:numPr>
        <w:ind w:left="426" w:hanging="426"/>
        <w:jc w:val="both"/>
      </w:pPr>
      <w:r>
        <w:t>There are no legal implications arising directly from the report. The Council has some discretion in applying exemptions and p</w:t>
      </w:r>
      <w:r w:rsidR="00896AC9">
        <w:t>remiums in relation to Council T</w:t>
      </w:r>
      <w:r>
        <w:t xml:space="preserve">ax but must act within the constraints of the </w:t>
      </w:r>
      <w:r w:rsidRPr="00EF44C1">
        <w:t>Rating (Property in Common Occupation) and Council Tax (Empty Dwellings) Act 2018</w:t>
      </w:r>
      <w:r>
        <w:t>.</w:t>
      </w:r>
      <w:r w:rsidRPr="00EF44C1">
        <w:t xml:space="preserve"> </w:t>
      </w:r>
      <w:r>
        <w:t xml:space="preserve">Completing an EDMO or CPO can take time and can be expensive. The Council will only seek to go down these routes when other measures and communications have failed. </w:t>
      </w:r>
    </w:p>
    <w:p w:rsidR="003C728D" w:rsidRPr="001356F1" w:rsidRDefault="003C728D" w:rsidP="003C728D"/>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3C728D" w:rsidRPr="001356F1" w:rsidTr="003C728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3C728D" w:rsidRPr="001356F1" w:rsidRDefault="003C728D" w:rsidP="003C728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3C728D" w:rsidRPr="001356F1" w:rsidRDefault="003C728D" w:rsidP="003C728D">
            <w:r>
              <w:t xml:space="preserve">Tanya </w:t>
            </w:r>
            <w:proofErr w:type="spellStart"/>
            <w:r>
              <w:t>Bandekar</w:t>
            </w:r>
            <w:proofErr w:type="spellEnd"/>
            <w:r>
              <w:t xml:space="preserve"> and Melanie </w:t>
            </w:r>
            <w:proofErr w:type="spellStart"/>
            <w:r>
              <w:t>Mutch</w:t>
            </w:r>
            <w:proofErr w:type="spellEnd"/>
          </w:p>
        </w:tc>
      </w:tr>
      <w:tr w:rsidR="003C728D" w:rsidRPr="001356F1" w:rsidTr="003C728D">
        <w:trPr>
          <w:cantSplit/>
          <w:trHeight w:val="396"/>
        </w:trPr>
        <w:tc>
          <w:tcPr>
            <w:tcW w:w="3969" w:type="dxa"/>
            <w:tcBorders>
              <w:top w:val="single" w:sz="8" w:space="0" w:color="000000"/>
              <w:left w:val="single" w:sz="8" w:space="0" w:color="000000"/>
              <w:bottom w:val="nil"/>
              <w:right w:val="nil"/>
            </w:tcBorders>
            <w:shd w:val="clear" w:color="auto" w:fill="auto"/>
          </w:tcPr>
          <w:p w:rsidR="003C728D" w:rsidRPr="001356F1" w:rsidRDefault="003C728D" w:rsidP="003C728D">
            <w:r w:rsidRPr="001356F1">
              <w:t>Job title</w:t>
            </w:r>
          </w:p>
        </w:tc>
        <w:tc>
          <w:tcPr>
            <w:tcW w:w="4962" w:type="dxa"/>
            <w:tcBorders>
              <w:top w:val="single" w:sz="8" w:space="0" w:color="000000"/>
              <w:left w:val="nil"/>
              <w:bottom w:val="nil"/>
              <w:right w:val="single" w:sz="8" w:space="0" w:color="000000"/>
            </w:tcBorders>
            <w:shd w:val="clear" w:color="auto" w:fill="auto"/>
          </w:tcPr>
          <w:p w:rsidR="003C728D" w:rsidRPr="001356F1" w:rsidRDefault="003C728D" w:rsidP="003C728D">
            <w:r>
              <w:t>Service Manager, Revenues and Benefits and Empty Property Officer</w:t>
            </w:r>
          </w:p>
        </w:tc>
      </w:tr>
      <w:tr w:rsidR="003C728D" w:rsidRPr="001356F1" w:rsidTr="003C728D">
        <w:trPr>
          <w:cantSplit/>
          <w:trHeight w:val="396"/>
        </w:trPr>
        <w:tc>
          <w:tcPr>
            <w:tcW w:w="3969" w:type="dxa"/>
            <w:tcBorders>
              <w:top w:val="nil"/>
              <w:left w:val="single" w:sz="8" w:space="0" w:color="000000"/>
              <w:bottom w:val="nil"/>
              <w:right w:val="nil"/>
            </w:tcBorders>
            <w:shd w:val="clear" w:color="auto" w:fill="auto"/>
          </w:tcPr>
          <w:p w:rsidR="003C728D" w:rsidRPr="001356F1" w:rsidRDefault="003C728D" w:rsidP="003C728D">
            <w:r w:rsidRPr="001356F1">
              <w:t>Service area or department</w:t>
            </w:r>
          </w:p>
        </w:tc>
        <w:tc>
          <w:tcPr>
            <w:tcW w:w="4962" w:type="dxa"/>
            <w:tcBorders>
              <w:top w:val="nil"/>
              <w:left w:val="nil"/>
              <w:bottom w:val="nil"/>
              <w:right w:val="single" w:sz="8" w:space="0" w:color="000000"/>
            </w:tcBorders>
            <w:shd w:val="clear" w:color="auto" w:fill="auto"/>
          </w:tcPr>
          <w:p w:rsidR="003C728D" w:rsidRPr="001356F1" w:rsidRDefault="003C728D" w:rsidP="003C728D">
            <w:r>
              <w:t>Financial Services</w:t>
            </w:r>
            <w:r w:rsidR="00AE0597">
              <w:t xml:space="preserve"> </w:t>
            </w:r>
            <w:r>
              <w:t>/</w:t>
            </w:r>
            <w:r w:rsidR="00AE0597">
              <w:t xml:space="preserve"> </w:t>
            </w:r>
            <w:r>
              <w:t>Regulatory Services</w:t>
            </w:r>
          </w:p>
        </w:tc>
      </w:tr>
      <w:tr w:rsidR="003C728D" w:rsidRPr="001356F1" w:rsidTr="003C728D">
        <w:trPr>
          <w:cantSplit/>
          <w:trHeight w:val="396"/>
        </w:trPr>
        <w:tc>
          <w:tcPr>
            <w:tcW w:w="3969" w:type="dxa"/>
            <w:tcBorders>
              <w:top w:val="nil"/>
              <w:left w:val="single" w:sz="8" w:space="0" w:color="000000"/>
              <w:bottom w:val="nil"/>
              <w:right w:val="nil"/>
            </w:tcBorders>
            <w:shd w:val="clear" w:color="auto" w:fill="auto"/>
          </w:tcPr>
          <w:p w:rsidR="003C728D" w:rsidRPr="001356F1" w:rsidRDefault="003C728D" w:rsidP="003C728D">
            <w:r w:rsidRPr="001356F1">
              <w:t xml:space="preserve">Telephone </w:t>
            </w:r>
          </w:p>
        </w:tc>
        <w:tc>
          <w:tcPr>
            <w:tcW w:w="4962" w:type="dxa"/>
            <w:tcBorders>
              <w:top w:val="nil"/>
              <w:left w:val="nil"/>
              <w:bottom w:val="nil"/>
              <w:right w:val="single" w:sz="8" w:space="0" w:color="000000"/>
            </w:tcBorders>
            <w:shd w:val="clear" w:color="auto" w:fill="auto"/>
          </w:tcPr>
          <w:p w:rsidR="003C728D" w:rsidRPr="001356F1" w:rsidRDefault="003C728D" w:rsidP="003C728D">
            <w:r>
              <w:t>01865 252281</w:t>
            </w:r>
            <w:r w:rsidR="00AE0597">
              <w:t xml:space="preserve"> </w:t>
            </w:r>
            <w:r>
              <w:t>/</w:t>
            </w:r>
            <w:r w:rsidR="00AE0597">
              <w:t xml:space="preserve"> 01865 </w:t>
            </w:r>
            <w:r>
              <w:t>252280</w:t>
            </w:r>
            <w:r w:rsidRPr="001356F1">
              <w:t xml:space="preserve">  </w:t>
            </w:r>
          </w:p>
        </w:tc>
      </w:tr>
      <w:tr w:rsidR="003C728D" w:rsidRPr="001356F1" w:rsidTr="003C728D">
        <w:trPr>
          <w:cantSplit/>
          <w:trHeight w:val="396"/>
        </w:trPr>
        <w:tc>
          <w:tcPr>
            <w:tcW w:w="3969" w:type="dxa"/>
            <w:tcBorders>
              <w:top w:val="nil"/>
              <w:left w:val="single" w:sz="8" w:space="0" w:color="000000"/>
              <w:bottom w:val="single" w:sz="8" w:space="0" w:color="000000"/>
              <w:right w:val="nil"/>
            </w:tcBorders>
            <w:shd w:val="clear" w:color="auto" w:fill="auto"/>
          </w:tcPr>
          <w:p w:rsidR="003C728D" w:rsidRPr="001356F1" w:rsidRDefault="003C728D" w:rsidP="003C728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3C728D" w:rsidRPr="001356F1" w:rsidRDefault="005C170B" w:rsidP="00AE0597">
            <w:pPr>
              <w:rPr>
                <w:rStyle w:val="Hyperlink"/>
                <w:color w:val="000000"/>
              </w:rPr>
            </w:pPr>
            <w:hyperlink r:id="rId11" w:history="1">
              <w:r w:rsidR="00AE0597" w:rsidRPr="00EC60F9">
                <w:rPr>
                  <w:rStyle w:val="Hyperlink"/>
                </w:rPr>
                <w:t>tbandekar@oxford.gov.uk</w:t>
              </w:r>
            </w:hyperlink>
            <w:r w:rsidR="00AE0597">
              <w:rPr>
                <w:rStyle w:val="Hyperlink"/>
                <w:color w:val="000000"/>
              </w:rPr>
              <w:t xml:space="preserve"> </w:t>
            </w:r>
            <w:hyperlink r:id="rId12" w:history="1">
              <w:r w:rsidR="00AE0597" w:rsidRPr="00EC60F9">
                <w:rPr>
                  <w:rStyle w:val="Hyperlink"/>
                </w:rPr>
                <w:t>mmutch@oxford.gov.uk</w:t>
              </w:r>
            </w:hyperlink>
            <w:r w:rsidR="00AE0597">
              <w:rPr>
                <w:rStyle w:val="Hyperlink"/>
                <w:color w:val="000000"/>
              </w:rPr>
              <w:t xml:space="preserve"> </w:t>
            </w:r>
          </w:p>
        </w:tc>
      </w:tr>
      <w:tr w:rsidR="003C728D" w:rsidRPr="001356F1" w:rsidTr="003C7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3C728D" w:rsidRPr="001356F1" w:rsidRDefault="003C728D" w:rsidP="003C728D">
            <w:r w:rsidRPr="001356F1">
              <w:rPr>
                <w:rStyle w:val="Firstpagetablebold"/>
              </w:rPr>
              <w:t xml:space="preserve">Background Papers: </w:t>
            </w:r>
            <w:r w:rsidRPr="001356F1">
              <w:rPr>
                <w:rStyle w:val="Firstpagetablebold"/>
                <w:b w:val="0"/>
              </w:rPr>
              <w:t>None</w:t>
            </w:r>
          </w:p>
        </w:tc>
      </w:tr>
    </w:tbl>
    <w:p w:rsidR="003C728D" w:rsidRPr="007F5E86" w:rsidRDefault="003C728D" w:rsidP="0036640B">
      <w:bookmarkStart w:id="1" w:name="YoursFS"/>
      <w:bookmarkEnd w:id="1"/>
    </w:p>
    <w:sectPr w:rsidR="003C728D" w:rsidRPr="007F5E86"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8D" w:rsidRDefault="003C728D" w:rsidP="004A6D2F">
      <w:r>
        <w:separator/>
      </w:r>
    </w:p>
  </w:endnote>
  <w:endnote w:type="continuationSeparator" w:id="0">
    <w:p w:rsidR="003C728D" w:rsidRDefault="003C728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4A6D2F">
    <w:pPr>
      <w:pStyle w:val="Footer"/>
    </w:pPr>
    <w:r>
      <w:t>Do not use a footer or page numbers.</w:t>
    </w:r>
  </w:p>
  <w:p w:rsidR="003C728D" w:rsidRDefault="003C728D" w:rsidP="004A6D2F">
    <w:pPr>
      <w:pStyle w:val="Footer"/>
    </w:pPr>
  </w:p>
  <w:p w:rsidR="003C728D" w:rsidRDefault="003C728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8D" w:rsidRDefault="003C728D" w:rsidP="004A6D2F">
      <w:r>
        <w:separator/>
      </w:r>
    </w:p>
  </w:footnote>
  <w:footnote w:type="continuationSeparator" w:id="0">
    <w:p w:rsidR="003C728D" w:rsidRDefault="003C728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D" w:rsidRDefault="003C728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E05139"/>
    <w:multiLevelType w:val="hybridMultilevel"/>
    <w:tmpl w:val="6434A1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2A1E9B"/>
    <w:multiLevelType w:val="multilevel"/>
    <w:tmpl w:val="9F30A06E"/>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71D1BED"/>
    <w:multiLevelType w:val="hybridMultilevel"/>
    <w:tmpl w:val="3774CD5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A6C4854"/>
    <w:multiLevelType w:val="hybridMultilevel"/>
    <w:tmpl w:val="5D7275B0"/>
    <w:lvl w:ilvl="0" w:tplc="7BA04C3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3"/>
  </w:num>
  <w:num w:numId="3">
    <w:abstractNumId w:val="24"/>
  </w:num>
  <w:num w:numId="4">
    <w:abstractNumId w:val="19"/>
  </w:num>
  <w:num w:numId="5">
    <w:abstractNumId w:val="29"/>
  </w:num>
  <w:num w:numId="6">
    <w:abstractNumId w:val="34"/>
  </w:num>
  <w:num w:numId="7">
    <w:abstractNumId w:val="23"/>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1"/>
  </w:num>
  <w:num w:numId="36">
    <w:abstractNumId w:val="31"/>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640B"/>
    <w:rsid w:val="0036738F"/>
    <w:rsid w:val="0036759C"/>
    <w:rsid w:val="00367AE5"/>
    <w:rsid w:val="00367D71"/>
    <w:rsid w:val="0038150A"/>
    <w:rsid w:val="003B448C"/>
    <w:rsid w:val="003B6E75"/>
    <w:rsid w:val="003C728D"/>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A5C23"/>
    <w:rsid w:val="005B17F2"/>
    <w:rsid w:val="005B7FB0"/>
    <w:rsid w:val="005C170B"/>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96AC9"/>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0597"/>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C78B2"/>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47A41D-AD7D-44FD-8938-4C42F34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utch@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andekar@oxfor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666BC-244C-4519-9FC3-B43859F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E49D51F3</Template>
  <TotalTime>104</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6</cp:revision>
  <cp:lastPrinted>2015-07-03T12:50:00Z</cp:lastPrinted>
  <dcterms:created xsi:type="dcterms:W3CDTF">2019-10-22T08:34:00Z</dcterms:created>
  <dcterms:modified xsi:type="dcterms:W3CDTF">2022-03-31T10:10:00Z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